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59C9B" w14:textId="668B6CFA" w:rsidR="00534E32" w:rsidRPr="00514D5A" w:rsidRDefault="009D2475" w:rsidP="00A762E7">
      <w:pPr>
        <w:jc w:val="center"/>
        <w:rPr>
          <w:rFonts w:cstheme="minorHAnsi"/>
          <w:b/>
          <w:bCs/>
          <w:sz w:val="32"/>
          <w:szCs w:val="32"/>
          <w:u w:val="single"/>
        </w:rPr>
      </w:pPr>
      <w:r w:rsidRPr="00514D5A">
        <w:rPr>
          <w:rFonts w:cstheme="minorHAnsi"/>
          <w:noProof/>
          <w:lang w:eastAsia="en-NZ"/>
        </w:rPr>
        <w:drawing>
          <wp:inline distT="0" distB="0" distL="0" distR="0" wp14:anchorId="0DE0ADB5" wp14:editId="7F74A808">
            <wp:extent cx="30670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5134" t="9600" r="7837" b="9600"/>
                    <a:stretch/>
                  </pic:blipFill>
                  <pic:spPr bwMode="auto">
                    <a:xfrm>
                      <a:off x="0" y="0"/>
                      <a:ext cx="3067050" cy="962025"/>
                    </a:xfrm>
                    <a:prstGeom prst="rect">
                      <a:avLst/>
                    </a:prstGeom>
                    <a:noFill/>
                    <a:ln>
                      <a:noFill/>
                    </a:ln>
                    <a:extLst>
                      <a:ext uri="{53640926-AAD7-44D8-BBD7-CCE9431645EC}">
                        <a14:shadowObscured xmlns:a14="http://schemas.microsoft.com/office/drawing/2010/main"/>
                      </a:ext>
                    </a:extLst>
                  </pic:spPr>
                </pic:pic>
              </a:graphicData>
            </a:graphic>
          </wp:inline>
        </w:drawing>
      </w:r>
    </w:p>
    <w:p w14:paraId="471F4551" w14:textId="38337D5B" w:rsidR="00A762E7" w:rsidRPr="00593676" w:rsidRDefault="00534E32" w:rsidP="00593676">
      <w:pPr>
        <w:pStyle w:val="Heading1"/>
      </w:pPr>
      <w:r w:rsidRPr="00593676">
        <w:t>Accessibility</w:t>
      </w:r>
      <w:r w:rsidR="001B2BDB" w:rsidRPr="00593676">
        <w:t xml:space="preserve"> Policy </w:t>
      </w:r>
    </w:p>
    <w:p w14:paraId="3CA17566" w14:textId="2E88CE97" w:rsidR="00534E32" w:rsidRPr="00514D5A" w:rsidRDefault="00534E32" w:rsidP="00A11FD5">
      <w:pPr>
        <w:rPr>
          <w:rFonts w:cstheme="minorHAnsi"/>
          <w:sz w:val="24"/>
          <w:szCs w:val="24"/>
        </w:rPr>
      </w:pPr>
      <w:r w:rsidRPr="00514D5A">
        <w:rPr>
          <w:rFonts w:cstheme="minorHAnsi"/>
          <w:sz w:val="24"/>
          <w:szCs w:val="24"/>
        </w:rPr>
        <w:t xml:space="preserve">Date Accepted: </w:t>
      </w:r>
    </w:p>
    <w:p w14:paraId="313ABE18" w14:textId="77777777" w:rsidR="00534E32" w:rsidRPr="00514D5A" w:rsidRDefault="00534E32" w:rsidP="00A11FD5">
      <w:pPr>
        <w:rPr>
          <w:rFonts w:cstheme="minorHAnsi"/>
          <w:sz w:val="24"/>
          <w:szCs w:val="24"/>
        </w:rPr>
      </w:pPr>
      <w:r w:rsidRPr="00514D5A">
        <w:rPr>
          <w:rFonts w:cstheme="minorHAnsi"/>
          <w:sz w:val="24"/>
          <w:szCs w:val="24"/>
        </w:rPr>
        <w:t xml:space="preserve">Approved by: </w:t>
      </w:r>
    </w:p>
    <w:p w14:paraId="19219C8E" w14:textId="0049CBA3" w:rsidR="00534E32" w:rsidRPr="00514D5A" w:rsidRDefault="00534E32" w:rsidP="00A11FD5">
      <w:pPr>
        <w:rPr>
          <w:rFonts w:cstheme="minorHAnsi"/>
          <w:sz w:val="24"/>
          <w:szCs w:val="24"/>
        </w:rPr>
      </w:pPr>
      <w:r w:rsidRPr="00514D5A">
        <w:rPr>
          <w:rFonts w:cstheme="minorHAnsi"/>
          <w:sz w:val="24"/>
          <w:szCs w:val="24"/>
        </w:rPr>
        <w:t>Review Date:</w:t>
      </w:r>
    </w:p>
    <w:p w14:paraId="428C197C" w14:textId="77777777" w:rsidR="00534E32" w:rsidRPr="00514D5A" w:rsidRDefault="00534E32" w:rsidP="00A11FD5">
      <w:pPr>
        <w:rPr>
          <w:rFonts w:cstheme="minorHAnsi"/>
          <w:sz w:val="24"/>
          <w:szCs w:val="24"/>
        </w:rPr>
      </w:pPr>
    </w:p>
    <w:p w14:paraId="47E40620" w14:textId="40AB7944" w:rsidR="00534E32" w:rsidRPr="00514D5A" w:rsidRDefault="005118F0" w:rsidP="00A11FD5">
      <w:pPr>
        <w:rPr>
          <w:rFonts w:cstheme="minorHAnsi"/>
          <w:sz w:val="24"/>
          <w:szCs w:val="24"/>
        </w:rPr>
      </w:pPr>
      <w:r w:rsidRPr="00514D5A">
        <w:rPr>
          <w:rFonts w:cstheme="minorHAnsi"/>
          <w:sz w:val="24"/>
          <w:szCs w:val="24"/>
        </w:rPr>
        <w:t xml:space="preserve">This accessibility policy </w:t>
      </w:r>
      <w:r w:rsidR="00534E32" w:rsidRPr="00514D5A">
        <w:rPr>
          <w:rFonts w:cstheme="minorHAnsi"/>
          <w:sz w:val="24"/>
          <w:szCs w:val="24"/>
        </w:rPr>
        <w:t>outlines how the New Zealand Police Museum will make their building, exhibitions, collections, services, and public programmes more accessible to the disabled community.</w:t>
      </w:r>
    </w:p>
    <w:p w14:paraId="599E92F9" w14:textId="622C3E87" w:rsidR="005118F0" w:rsidRPr="00514D5A" w:rsidRDefault="00534E32" w:rsidP="00A11FD5">
      <w:pPr>
        <w:rPr>
          <w:rFonts w:cstheme="minorHAnsi"/>
          <w:sz w:val="24"/>
          <w:szCs w:val="24"/>
        </w:rPr>
      </w:pPr>
      <w:r w:rsidRPr="00514D5A">
        <w:rPr>
          <w:rFonts w:cstheme="minorHAnsi"/>
          <w:sz w:val="24"/>
          <w:szCs w:val="24"/>
        </w:rPr>
        <w:t xml:space="preserve">It </w:t>
      </w:r>
      <w:r w:rsidR="005118F0" w:rsidRPr="00514D5A">
        <w:rPr>
          <w:rFonts w:cstheme="minorHAnsi"/>
          <w:sz w:val="24"/>
          <w:szCs w:val="24"/>
        </w:rPr>
        <w:t xml:space="preserve">aligns with and supports the Police Museum's mission, purpose, and goals.  </w:t>
      </w:r>
    </w:p>
    <w:p w14:paraId="42419EF4" w14:textId="2D1B2DBF" w:rsidR="005118F0" w:rsidRPr="00593676" w:rsidRDefault="005118F0" w:rsidP="00593676">
      <w:pPr>
        <w:pStyle w:val="Heading2"/>
      </w:pPr>
      <w:r w:rsidRPr="00593676">
        <w:t>Background</w:t>
      </w:r>
    </w:p>
    <w:p w14:paraId="42347081" w14:textId="060B14A9" w:rsidR="005118F0" w:rsidRPr="00514D5A" w:rsidRDefault="005118F0" w:rsidP="00A11FD5">
      <w:pPr>
        <w:rPr>
          <w:rFonts w:cstheme="minorHAnsi"/>
          <w:sz w:val="24"/>
          <w:szCs w:val="24"/>
        </w:rPr>
      </w:pPr>
      <w:r w:rsidRPr="00514D5A">
        <w:rPr>
          <w:rFonts w:cstheme="minorHAnsi"/>
          <w:sz w:val="24"/>
          <w:szCs w:val="24"/>
        </w:rPr>
        <w:t>The New Zealand Police Museum is</w:t>
      </w:r>
      <w:r w:rsidR="009C789F" w:rsidRPr="00514D5A">
        <w:rPr>
          <w:rFonts w:cstheme="minorHAnsi"/>
          <w:sz w:val="24"/>
          <w:szCs w:val="24"/>
        </w:rPr>
        <w:t xml:space="preserve"> a</w:t>
      </w:r>
      <w:r w:rsidRPr="00514D5A">
        <w:rPr>
          <w:rFonts w:cstheme="minorHAnsi"/>
          <w:sz w:val="24"/>
          <w:szCs w:val="24"/>
        </w:rPr>
        <w:t xml:space="preserve"> small museum located on the campus of the Royal New Zealand Police College in Porirua. We aim to help visitors understand who the New Zealand Police are and why they choose to serve their communities, telling real-life stories about policing in New Zealand.</w:t>
      </w:r>
    </w:p>
    <w:p w14:paraId="70CCD290" w14:textId="5B47642D" w:rsidR="005118F0" w:rsidRPr="00514D5A" w:rsidRDefault="009C789F" w:rsidP="00A11FD5">
      <w:pPr>
        <w:pStyle w:val="ListParagraph"/>
        <w:numPr>
          <w:ilvl w:val="0"/>
          <w:numId w:val="3"/>
        </w:numPr>
        <w:rPr>
          <w:rFonts w:cstheme="minorHAnsi"/>
          <w:sz w:val="24"/>
          <w:szCs w:val="24"/>
        </w:rPr>
      </w:pPr>
      <w:r w:rsidRPr="00514D5A">
        <w:rPr>
          <w:rFonts w:cstheme="minorHAnsi"/>
          <w:sz w:val="24"/>
          <w:szCs w:val="24"/>
        </w:rPr>
        <w:t xml:space="preserve">Our displays </w:t>
      </w:r>
      <w:r w:rsidR="005118F0" w:rsidRPr="00514D5A">
        <w:rPr>
          <w:rFonts w:cstheme="minorHAnsi"/>
          <w:sz w:val="24"/>
          <w:szCs w:val="24"/>
        </w:rPr>
        <w:t xml:space="preserve">vary </w:t>
      </w:r>
      <w:r w:rsidRPr="00514D5A">
        <w:rPr>
          <w:rFonts w:cstheme="minorHAnsi"/>
          <w:sz w:val="24"/>
          <w:szCs w:val="24"/>
        </w:rPr>
        <w:t>greatly</w:t>
      </w:r>
      <w:r w:rsidR="005118F0" w:rsidRPr="00514D5A">
        <w:rPr>
          <w:rFonts w:cstheme="minorHAnsi"/>
          <w:sz w:val="24"/>
          <w:szCs w:val="24"/>
        </w:rPr>
        <w:t xml:space="preserve"> and are updated regularly. </w:t>
      </w:r>
    </w:p>
    <w:p w14:paraId="7CB6C603" w14:textId="6C5E5034" w:rsidR="005118F0" w:rsidRPr="00514D5A" w:rsidRDefault="005118F0" w:rsidP="00A11FD5">
      <w:pPr>
        <w:pStyle w:val="ListParagraph"/>
        <w:numPr>
          <w:ilvl w:val="0"/>
          <w:numId w:val="3"/>
        </w:numPr>
        <w:rPr>
          <w:rFonts w:cstheme="minorHAnsi"/>
          <w:sz w:val="24"/>
          <w:szCs w:val="24"/>
        </w:rPr>
      </w:pPr>
      <w:r w:rsidRPr="00514D5A">
        <w:rPr>
          <w:rFonts w:cstheme="minorHAnsi"/>
          <w:sz w:val="24"/>
          <w:szCs w:val="24"/>
        </w:rPr>
        <w:t xml:space="preserve">Interactive and hands-on methods are utilised, enabling visitors to interact with New Zealand Police’s past, present, and future. </w:t>
      </w:r>
    </w:p>
    <w:p w14:paraId="293B3AB3" w14:textId="75609A1B" w:rsidR="009C789F" w:rsidRPr="00514D5A" w:rsidRDefault="009C789F" w:rsidP="00593676">
      <w:pPr>
        <w:pStyle w:val="Heading2"/>
      </w:pPr>
      <w:r w:rsidRPr="00514D5A">
        <w:t>Policy Statement</w:t>
      </w:r>
    </w:p>
    <w:p w14:paraId="6EECDD68" w14:textId="77777777" w:rsidR="009C789F" w:rsidRPr="00514D5A" w:rsidRDefault="005118F0" w:rsidP="00A11FD5">
      <w:pPr>
        <w:rPr>
          <w:rFonts w:cstheme="minorHAnsi"/>
          <w:sz w:val="24"/>
          <w:szCs w:val="24"/>
        </w:rPr>
      </w:pPr>
      <w:r w:rsidRPr="00514D5A">
        <w:rPr>
          <w:rFonts w:cstheme="minorHAnsi"/>
          <w:sz w:val="24"/>
          <w:szCs w:val="24"/>
        </w:rPr>
        <w:t xml:space="preserve">The Police Museum operates under the New Zealand Police’s Code of Conduct and complies with all relevant policing legislation. </w:t>
      </w:r>
    </w:p>
    <w:p w14:paraId="003B7459" w14:textId="6DA1B014" w:rsidR="005118F0" w:rsidRPr="00514D5A" w:rsidRDefault="005118F0" w:rsidP="00A11FD5">
      <w:pPr>
        <w:rPr>
          <w:rFonts w:cstheme="minorHAnsi"/>
          <w:sz w:val="24"/>
          <w:szCs w:val="24"/>
        </w:rPr>
      </w:pPr>
      <w:r w:rsidRPr="00514D5A">
        <w:rPr>
          <w:rFonts w:cstheme="minorHAnsi"/>
          <w:sz w:val="24"/>
          <w:szCs w:val="24"/>
        </w:rPr>
        <w:t xml:space="preserve">Once complete, this policy and all supporting documents must be ratified by New Zealand Police. </w:t>
      </w:r>
    </w:p>
    <w:p w14:paraId="03EB21C0" w14:textId="1626515D" w:rsidR="005118F0" w:rsidRPr="00514D5A" w:rsidRDefault="005118F0" w:rsidP="00A11FD5">
      <w:pPr>
        <w:rPr>
          <w:rFonts w:cstheme="minorHAnsi"/>
          <w:sz w:val="24"/>
          <w:szCs w:val="24"/>
        </w:rPr>
      </w:pPr>
      <w:r w:rsidRPr="00514D5A">
        <w:rPr>
          <w:rFonts w:cstheme="minorHAnsi"/>
          <w:sz w:val="24"/>
          <w:szCs w:val="24"/>
        </w:rPr>
        <w:t xml:space="preserve">Rowan Carroll, the Director of the Police Museum, </w:t>
      </w:r>
      <w:r w:rsidR="0055421E" w:rsidRPr="00514D5A">
        <w:rPr>
          <w:rFonts w:cstheme="minorHAnsi"/>
          <w:sz w:val="24"/>
          <w:szCs w:val="24"/>
        </w:rPr>
        <w:t>is</w:t>
      </w:r>
      <w:r w:rsidRPr="00514D5A">
        <w:rPr>
          <w:rFonts w:cstheme="minorHAnsi"/>
          <w:sz w:val="24"/>
          <w:szCs w:val="24"/>
        </w:rPr>
        <w:t xml:space="preserve"> responsible for the implementation of the disability policy and standard operating procedures.</w:t>
      </w:r>
    </w:p>
    <w:p w14:paraId="1094061C" w14:textId="2E349B49" w:rsidR="0055421E" w:rsidRDefault="005118F0" w:rsidP="00A11FD5">
      <w:pPr>
        <w:rPr>
          <w:rFonts w:cstheme="minorHAnsi"/>
          <w:sz w:val="24"/>
          <w:szCs w:val="24"/>
        </w:rPr>
      </w:pPr>
      <w:r w:rsidRPr="00514D5A">
        <w:rPr>
          <w:rFonts w:cstheme="minorHAnsi"/>
          <w:sz w:val="24"/>
          <w:szCs w:val="24"/>
        </w:rPr>
        <w:t>The disability policy and standard operating procedures will be reviewed and updated every three years from the date of approval.</w:t>
      </w:r>
    </w:p>
    <w:p w14:paraId="33361B15" w14:textId="3DB9CD1F" w:rsidR="00514D5A" w:rsidRDefault="00514D5A" w:rsidP="00A11FD5">
      <w:pPr>
        <w:rPr>
          <w:rFonts w:cstheme="minorHAnsi"/>
          <w:sz w:val="24"/>
          <w:szCs w:val="24"/>
        </w:rPr>
      </w:pPr>
    </w:p>
    <w:p w14:paraId="1BFEE599" w14:textId="77777777" w:rsidR="00514D5A" w:rsidRPr="00514D5A" w:rsidRDefault="00514D5A" w:rsidP="00A11FD5">
      <w:pPr>
        <w:rPr>
          <w:rFonts w:cstheme="minorHAnsi"/>
          <w:sz w:val="24"/>
          <w:szCs w:val="24"/>
        </w:rPr>
      </w:pPr>
    </w:p>
    <w:p w14:paraId="6EF3CE12" w14:textId="5FED2C1D" w:rsidR="005118F0" w:rsidRPr="00514D5A" w:rsidRDefault="005118F0" w:rsidP="00593676">
      <w:pPr>
        <w:pStyle w:val="Heading2"/>
      </w:pPr>
      <w:r w:rsidRPr="00514D5A">
        <w:lastRenderedPageBreak/>
        <w:t>Goals and objectives</w:t>
      </w:r>
    </w:p>
    <w:p w14:paraId="755E7247" w14:textId="3F3CD864" w:rsidR="00123728" w:rsidRPr="00514D5A" w:rsidRDefault="00123728" w:rsidP="00A11FD5">
      <w:pPr>
        <w:rPr>
          <w:rFonts w:cstheme="minorHAnsi"/>
          <w:sz w:val="24"/>
          <w:szCs w:val="24"/>
        </w:rPr>
      </w:pPr>
      <w:r w:rsidRPr="00514D5A">
        <w:rPr>
          <w:rFonts w:cstheme="minorHAnsi"/>
          <w:sz w:val="24"/>
          <w:szCs w:val="24"/>
        </w:rPr>
        <w:t xml:space="preserve">The New Zealand Police Museum has two strategic goals. </w:t>
      </w:r>
    </w:p>
    <w:p w14:paraId="3B93E2B0" w14:textId="2454D3A6" w:rsidR="00123728" w:rsidRPr="00514D5A" w:rsidRDefault="00F71834" w:rsidP="00A11FD5">
      <w:pPr>
        <w:pStyle w:val="ListParagraph"/>
        <w:numPr>
          <w:ilvl w:val="0"/>
          <w:numId w:val="5"/>
        </w:numPr>
        <w:rPr>
          <w:rFonts w:cstheme="minorHAnsi"/>
          <w:sz w:val="24"/>
          <w:szCs w:val="24"/>
        </w:rPr>
      </w:pPr>
      <w:r w:rsidRPr="00514D5A">
        <w:rPr>
          <w:rFonts w:cstheme="minorHAnsi"/>
          <w:sz w:val="24"/>
          <w:szCs w:val="24"/>
        </w:rPr>
        <w:t>To m</w:t>
      </w:r>
      <w:r w:rsidR="00123728" w:rsidRPr="00514D5A">
        <w:rPr>
          <w:rFonts w:cstheme="minorHAnsi"/>
          <w:sz w:val="24"/>
          <w:szCs w:val="24"/>
        </w:rPr>
        <w:t xml:space="preserve">ake the Police Museum’s building and all exhibitions, collections, services, and public programmes accessible to the disabled community. </w:t>
      </w:r>
    </w:p>
    <w:p w14:paraId="509354E5" w14:textId="17F341EA" w:rsidR="007B0B69" w:rsidRPr="00514D5A" w:rsidRDefault="007B0B69" w:rsidP="00A11FD5">
      <w:pPr>
        <w:pStyle w:val="ListParagraph"/>
        <w:numPr>
          <w:ilvl w:val="1"/>
          <w:numId w:val="5"/>
        </w:numPr>
        <w:rPr>
          <w:rFonts w:cstheme="minorHAnsi"/>
          <w:sz w:val="24"/>
          <w:szCs w:val="24"/>
        </w:rPr>
      </w:pPr>
      <w:r w:rsidRPr="00514D5A">
        <w:rPr>
          <w:rFonts w:cstheme="minorHAnsi"/>
          <w:sz w:val="24"/>
          <w:szCs w:val="24"/>
        </w:rPr>
        <w:t xml:space="preserve">We </w:t>
      </w:r>
      <w:r w:rsidR="00066E6F" w:rsidRPr="00514D5A">
        <w:rPr>
          <w:rFonts w:cstheme="minorHAnsi"/>
          <w:sz w:val="24"/>
          <w:szCs w:val="24"/>
        </w:rPr>
        <w:t>want</w:t>
      </w:r>
      <w:r w:rsidRPr="00514D5A">
        <w:rPr>
          <w:rFonts w:cstheme="minorHAnsi"/>
          <w:sz w:val="24"/>
          <w:szCs w:val="24"/>
        </w:rPr>
        <w:t xml:space="preserve"> to update the museum so that </w:t>
      </w:r>
      <w:r w:rsidR="00F71834" w:rsidRPr="00514D5A">
        <w:rPr>
          <w:rFonts w:cstheme="minorHAnsi"/>
          <w:sz w:val="24"/>
          <w:szCs w:val="24"/>
        </w:rPr>
        <w:t>it</w:t>
      </w:r>
      <w:r w:rsidRPr="00514D5A">
        <w:rPr>
          <w:rFonts w:cstheme="minorHAnsi"/>
          <w:sz w:val="24"/>
          <w:szCs w:val="24"/>
        </w:rPr>
        <w:t xml:space="preserve"> align</w:t>
      </w:r>
      <w:r w:rsidR="00F71834" w:rsidRPr="00514D5A">
        <w:rPr>
          <w:rFonts w:cstheme="minorHAnsi"/>
          <w:sz w:val="24"/>
          <w:szCs w:val="24"/>
        </w:rPr>
        <w:t>s</w:t>
      </w:r>
      <w:r w:rsidRPr="00514D5A">
        <w:rPr>
          <w:rFonts w:cstheme="minorHAnsi"/>
          <w:sz w:val="24"/>
          <w:szCs w:val="24"/>
        </w:rPr>
        <w:t xml:space="preserve"> with accessibility recommendations, allowing any member of New Zealand’s diverse population to visit or work at the Police Museum. </w:t>
      </w:r>
    </w:p>
    <w:p w14:paraId="702CB650" w14:textId="66079C7C" w:rsidR="007B0B69" w:rsidRPr="00514D5A" w:rsidRDefault="00066E6F" w:rsidP="00A11FD5">
      <w:pPr>
        <w:pStyle w:val="ListParagraph"/>
        <w:numPr>
          <w:ilvl w:val="1"/>
          <w:numId w:val="5"/>
        </w:numPr>
        <w:rPr>
          <w:rFonts w:cstheme="minorHAnsi"/>
          <w:sz w:val="24"/>
          <w:szCs w:val="24"/>
        </w:rPr>
      </w:pPr>
      <w:r w:rsidRPr="00514D5A">
        <w:rPr>
          <w:rFonts w:cstheme="minorHAnsi"/>
          <w:sz w:val="24"/>
          <w:szCs w:val="24"/>
        </w:rPr>
        <w:t>F</w:t>
      </w:r>
      <w:r w:rsidR="007B0B69" w:rsidRPr="00514D5A">
        <w:rPr>
          <w:rFonts w:cstheme="minorHAnsi"/>
          <w:sz w:val="24"/>
          <w:szCs w:val="24"/>
        </w:rPr>
        <w:t xml:space="preserve">ostering </w:t>
      </w:r>
      <w:r w:rsidRPr="00514D5A">
        <w:rPr>
          <w:rFonts w:cstheme="minorHAnsi"/>
          <w:sz w:val="24"/>
          <w:szCs w:val="24"/>
        </w:rPr>
        <w:t>a relationship between</w:t>
      </w:r>
      <w:r w:rsidR="007B0B69" w:rsidRPr="00514D5A">
        <w:rPr>
          <w:rFonts w:cstheme="minorHAnsi"/>
          <w:sz w:val="24"/>
          <w:szCs w:val="24"/>
        </w:rPr>
        <w:t xml:space="preserve"> the New Zealand Police and the New Zealand public</w:t>
      </w:r>
      <w:r w:rsidRPr="00514D5A">
        <w:rPr>
          <w:rFonts w:cstheme="minorHAnsi"/>
          <w:sz w:val="24"/>
          <w:szCs w:val="24"/>
        </w:rPr>
        <w:t xml:space="preserve"> is a key component of the Police Museum’s mission. We cannot, in good faith, say that we are fostering this relationship </w:t>
      </w:r>
      <w:r w:rsidR="007B0B69" w:rsidRPr="00514D5A">
        <w:rPr>
          <w:rFonts w:cstheme="minorHAnsi"/>
          <w:sz w:val="24"/>
          <w:szCs w:val="24"/>
        </w:rPr>
        <w:t xml:space="preserve">if we </w:t>
      </w:r>
      <w:r w:rsidRPr="00514D5A">
        <w:rPr>
          <w:rFonts w:cstheme="minorHAnsi"/>
          <w:sz w:val="24"/>
          <w:szCs w:val="24"/>
        </w:rPr>
        <w:t xml:space="preserve">limit what the disabled community can experience.   </w:t>
      </w:r>
    </w:p>
    <w:p w14:paraId="3FA81EAD" w14:textId="436A0759" w:rsidR="00123728" w:rsidRPr="00514D5A" w:rsidRDefault="00123728" w:rsidP="00A11FD5">
      <w:pPr>
        <w:pStyle w:val="ListParagraph"/>
        <w:numPr>
          <w:ilvl w:val="0"/>
          <w:numId w:val="5"/>
        </w:numPr>
        <w:rPr>
          <w:rFonts w:cstheme="minorHAnsi"/>
          <w:sz w:val="24"/>
          <w:szCs w:val="24"/>
        </w:rPr>
      </w:pPr>
      <w:r w:rsidRPr="00514D5A">
        <w:rPr>
          <w:rFonts w:cstheme="minorHAnsi"/>
          <w:sz w:val="24"/>
          <w:szCs w:val="24"/>
        </w:rPr>
        <w:t xml:space="preserve">Improve the accessibility of the Police Museum’s website and </w:t>
      </w:r>
      <w:r w:rsidR="007B0B69" w:rsidRPr="00514D5A">
        <w:rPr>
          <w:rFonts w:cstheme="minorHAnsi"/>
          <w:sz w:val="24"/>
          <w:szCs w:val="24"/>
        </w:rPr>
        <w:t>social media.</w:t>
      </w:r>
    </w:p>
    <w:p w14:paraId="0F076449" w14:textId="787FADFE" w:rsidR="00A762E7" w:rsidRPr="00514D5A" w:rsidRDefault="00A762E7" w:rsidP="00A11FD5">
      <w:pPr>
        <w:pStyle w:val="ListParagraph"/>
        <w:numPr>
          <w:ilvl w:val="1"/>
          <w:numId w:val="5"/>
        </w:numPr>
        <w:rPr>
          <w:rFonts w:cstheme="minorHAnsi"/>
          <w:sz w:val="24"/>
          <w:szCs w:val="24"/>
        </w:rPr>
      </w:pPr>
      <w:r w:rsidRPr="00514D5A">
        <w:rPr>
          <w:rFonts w:cstheme="minorHAnsi"/>
          <w:sz w:val="24"/>
          <w:szCs w:val="24"/>
        </w:rPr>
        <w:t xml:space="preserve">The Police Museum’s website is one of the ways the public can learn more about the museum, therefore it needs to be accessible to anyone who may visit us. </w:t>
      </w:r>
    </w:p>
    <w:p w14:paraId="69F5A231" w14:textId="456F3565" w:rsidR="00A762E7" w:rsidRPr="00514D5A" w:rsidRDefault="00A762E7" w:rsidP="00A11FD5">
      <w:pPr>
        <w:pStyle w:val="ListParagraph"/>
        <w:numPr>
          <w:ilvl w:val="1"/>
          <w:numId w:val="5"/>
        </w:numPr>
        <w:rPr>
          <w:rFonts w:cstheme="minorHAnsi"/>
          <w:sz w:val="24"/>
          <w:szCs w:val="24"/>
        </w:rPr>
      </w:pPr>
      <w:r w:rsidRPr="00514D5A">
        <w:rPr>
          <w:rFonts w:cstheme="minorHAnsi"/>
          <w:sz w:val="24"/>
          <w:szCs w:val="24"/>
        </w:rPr>
        <w:t xml:space="preserve">Not only does the Police Museum communicate with people on the gallery floor, but it also has a strong social media presence. So that we may continue developing relationships with the public, our social media needs to become more accessible. </w:t>
      </w:r>
    </w:p>
    <w:p w14:paraId="07319DAE" w14:textId="6546B692" w:rsidR="005118F0" w:rsidRPr="00514D5A" w:rsidRDefault="005118F0" w:rsidP="00593676">
      <w:pPr>
        <w:pStyle w:val="Heading2"/>
      </w:pPr>
      <w:r w:rsidRPr="00514D5A">
        <w:t>Accessibility issues you want to address and why</w:t>
      </w:r>
    </w:p>
    <w:p w14:paraId="5EA8F3AD" w14:textId="075B7AB8" w:rsidR="007932EB" w:rsidRPr="00514D5A" w:rsidRDefault="007932EB" w:rsidP="00A11FD5">
      <w:pPr>
        <w:rPr>
          <w:rFonts w:cstheme="minorHAnsi"/>
          <w:sz w:val="24"/>
          <w:szCs w:val="24"/>
        </w:rPr>
      </w:pPr>
      <w:r w:rsidRPr="00514D5A">
        <w:rPr>
          <w:rFonts w:cstheme="minorHAnsi"/>
          <w:sz w:val="24"/>
          <w:szCs w:val="24"/>
        </w:rPr>
        <w:t xml:space="preserve">In 2021, an accessibility audit of the Police Museum was conducted by Victoria University of Wellington intern Amy Boswell-Hore. </w:t>
      </w:r>
      <w:r w:rsidR="00F71834" w:rsidRPr="00514D5A">
        <w:rPr>
          <w:rFonts w:cstheme="minorHAnsi"/>
          <w:sz w:val="24"/>
          <w:szCs w:val="24"/>
        </w:rPr>
        <w:t>H</w:t>
      </w:r>
      <w:r w:rsidRPr="00514D5A">
        <w:rPr>
          <w:rFonts w:cstheme="minorHAnsi"/>
          <w:sz w:val="24"/>
          <w:szCs w:val="24"/>
        </w:rPr>
        <w:t xml:space="preserve">er findings </w:t>
      </w:r>
      <w:r w:rsidR="00F71834" w:rsidRPr="00514D5A">
        <w:rPr>
          <w:rFonts w:cstheme="minorHAnsi"/>
          <w:sz w:val="24"/>
          <w:szCs w:val="24"/>
        </w:rPr>
        <w:t>were recorded in</w:t>
      </w:r>
      <w:r w:rsidRPr="00514D5A">
        <w:rPr>
          <w:rFonts w:cstheme="minorHAnsi"/>
          <w:sz w:val="24"/>
          <w:szCs w:val="24"/>
        </w:rPr>
        <w:t xml:space="preserve"> Accessibility Report (June 2021). To summarise, she found that: </w:t>
      </w:r>
    </w:p>
    <w:p w14:paraId="35547043" w14:textId="5B7FA069" w:rsidR="007932EB" w:rsidRPr="00514D5A" w:rsidRDefault="007932EB" w:rsidP="00A11FD5">
      <w:pPr>
        <w:pStyle w:val="ListParagraph"/>
        <w:numPr>
          <w:ilvl w:val="0"/>
          <w:numId w:val="6"/>
        </w:numPr>
        <w:rPr>
          <w:rFonts w:cstheme="minorHAnsi"/>
          <w:sz w:val="24"/>
          <w:szCs w:val="24"/>
        </w:rPr>
      </w:pPr>
      <w:r w:rsidRPr="00514D5A">
        <w:rPr>
          <w:rFonts w:cstheme="minorHAnsi"/>
          <w:sz w:val="24"/>
          <w:szCs w:val="24"/>
        </w:rPr>
        <w:t>There is a lack of specialised technology or aids that improve accessibility</w:t>
      </w:r>
      <w:r w:rsidR="00F71834" w:rsidRPr="00514D5A">
        <w:rPr>
          <w:rFonts w:cstheme="minorHAnsi"/>
          <w:sz w:val="24"/>
          <w:szCs w:val="24"/>
        </w:rPr>
        <w:t>.</w:t>
      </w:r>
    </w:p>
    <w:p w14:paraId="16731B1A" w14:textId="77777777" w:rsidR="00F71834" w:rsidRPr="00514D5A" w:rsidRDefault="007932EB" w:rsidP="00A11FD5">
      <w:pPr>
        <w:pStyle w:val="ListParagraph"/>
        <w:numPr>
          <w:ilvl w:val="0"/>
          <w:numId w:val="6"/>
        </w:numPr>
        <w:rPr>
          <w:rFonts w:cstheme="minorHAnsi"/>
          <w:sz w:val="24"/>
          <w:szCs w:val="24"/>
        </w:rPr>
      </w:pPr>
      <w:r w:rsidRPr="00514D5A">
        <w:rPr>
          <w:rFonts w:cstheme="minorHAnsi"/>
          <w:sz w:val="24"/>
          <w:szCs w:val="24"/>
        </w:rPr>
        <w:t>General accessibility is limited in some areas of the public and staff areas of the museum.</w:t>
      </w:r>
    </w:p>
    <w:p w14:paraId="54487449" w14:textId="46749E19" w:rsidR="007932EB" w:rsidRPr="00514D5A" w:rsidRDefault="00F71834" w:rsidP="00A11FD5">
      <w:pPr>
        <w:pStyle w:val="ListParagraph"/>
        <w:numPr>
          <w:ilvl w:val="0"/>
          <w:numId w:val="6"/>
        </w:numPr>
        <w:rPr>
          <w:rFonts w:cstheme="minorHAnsi"/>
          <w:sz w:val="24"/>
          <w:szCs w:val="24"/>
        </w:rPr>
      </w:pPr>
      <w:r w:rsidRPr="00514D5A">
        <w:rPr>
          <w:rFonts w:cstheme="minorHAnsi"/>
          <w:sz w:val="24"/>
          <w:szCs w:val="24"/>
        </w:rPr>
        <w:t>T</w:t>
      </w:r>
      <w:r w:rsidR="00442CEF" w:rsidRPr="00514D5A">
        <w:rPr>
          <w:rFonts w:cstheme="minorHAnsi"/>
          <w:sz w:val="24"/>
          <w:szCs w:val="24"/>
        </w:rPr>
        <w:t>he only access to the second floor</w:t>
      </w:r>
      <w:r w:rsidRPr="00514D5A">
        <w:rPr>
          <w:rFonts w:cstheme="minorHAnsi"/>
          <w:sz w:val="24"/>
          <w:szCs w:val="24"/>
        </w:rPr>
        <w:t xml:space="preserve"> is via a staircase</w:t>
      </w:r>
      <w:r w:rsidR="00442CEF" w:rsidRPr="00514D5A">
        <w:rPr>
          <w:rFonts w:cstheme="minorHAnsi"/>
          <w:sz w:val="24"/>
          <w:szCs w:val="24"/>
        </w:rPr>
        <w:t xml:space="preserve">. </w:t>
      </w:r>
    </w:p>
    <w:p w14:paraId="779252C4" w14:textId="33316F98" w:rsidR="007932EB" w:rsidRPr="00514D5A" w:rsidRDefault="00F71834" w:rsidP="00A11FD5">
      <w:pPr>
        <w:pStyle w:val="ListParagraph"/>
        <w:numPr>
          <w:ilvl w:val="0"/>
          <w:numId w:val="6"/>
        </w:numPr>
        <w:rPr>
          <w:rFonts w:cstheme="minorHAnsi"/>
          <w:sz w:val="24"/>
          <w:szCs w:val="24"/>
        </w:rPr>
      </w:pPr>
      <w:r w:rsidRPr="00514D5A">
        <w:rPr>
          <w:rFonts w:cstheme="minorHAnsi"/>
          <w:sz w:val="24"/>
          <w:szCs w:val="24"/>
        </w:rPr>
        <w:t>Many</w:t>
      </w:r>
      <w:r w:rsidR="00442CEF" w:rsidRPr="00514D5A">
        <w:rPr>
          <w:rFonts w:cstheme="minorHAnsi"/>
          <w:sz w:val="24"/>
          <w:szCs w:val="24"/>
        </w:rPr>
        <w:t xml:space="preserve"> of</w:t>
      </w:r>
      <w:r w:rsidR="007932EB" w:rsidRPr="00514D5A">
        <w:rPr>
          <w:rFonts w:cstheme="minorHAnsi"/>
          <w:sz w:val="24"/>
          <w:szCs w:val="24"/>
        </w:rPr>
        <w:t xml:space="preserve"> the museum’s </w:t>
      </w:r>
      <w:r w:rsidRPr="00514D5A">
        <w:rPr>
          <w:rFonts w:cstheme="minorHAnsi"/>
          <w:sz w:val="24"/>
          <w:szCs w:val="24"/>
        </w:rPr>
        <w:t>signage is</w:t>
      </w:r>
      <w:r w:rsidR="007932EB" w:rsidRPr="00514D5A">
        <w:rPr>
          <w:rFonts w:cstheme="minorHAnsi"/>
          <w:sz w:val="24"/>
          <w:szCs w:val="24"/>
        </w:rPr>
        <w:t xml:space="preserve"> outside of accessibility requirements, which assesses text size, font type, and wall placement. </w:t>
      </w:r>
    </w:p>
    <w:p w14:paraId="76FDBC66" w14:textId="0A92FB8E" w:rsidR="00442CEF" w:rsidRPr="00514D5A" w:rsidRDefault="00442CEF" w:rsidP="00A11FD5">
      <w:pPr>
        <w:pStyle w:val="ListParagraph"/>
        <w:numPr>
          <w:ilvl w:val="0"/>
          <w:numId w:val="6"/>
        </w:numPr>
        <w:rPr>
          <w:rFonts w:cstheme="minorHAnsi"/>
          <w:sz w:val="24"/>
          <w:szCs w:val="24"/>
        </w:rPr>
      </w:pPr>
      <w:r w:rsidRPr="00514D5A">
        <w:rPr>
          <w:rFonts w:cstheme="minorHAnsi"/>
          <w:sz w:val="24"/>
          <w:szCs w:val="24"/>
        </w:rPr>
        <w:t xml:space="preserve">There are sensory concerns related to lighting, sound, and content, which may affect people with neurodiversities. </w:t>
      </w:r>
    </w:p>
    <w:p w14:paraId="7030D281" w14:textId="77777777" w:rsidR="00F71834" w:rsidRPr="00514D5A" w:rsidRDefault="00F71834" w:rsidP="00A11FD5">
      <w:pPr>
        <w:pStyle w:val="ListParagraph"/>
        <w:numPr>
          <w:ilvl w:val="0"/>
          <w:numId w:val="6"/>
        </w:numPr>
        <w:rPr>
          <w:rFonts w:cstheme="minorHAnsi"/>
          <w:sz w:val="24"/>
          <w:szCs w:val="24"/>
        </w:rPr>
      </w:pPr>
      <w:r w:rsidRPr="00514D5A">
        <w:rPr>
          <w:rFonts w:cstheme="minorHAnsi"/>
          <w:sz w:val="24"/>
          <w:szCs w:val="24"/>
        </w:rPr>
        <w:t xml:space="preserve">The lack of other accessible amenities, such as recharge stations for motorised wheelchairs and service dogs. </w:t>
      </w:r>
    </w:p>
    <w:p w14:paraId="31BA76F3" w14:textId="0F7CFBE1" w:rsidR="00442CEF" w:rsidRPr="00514D5A" w:rsidRDefault="00442CEF" w:rsidP="00A11FD5">
      <w:pPr>
        <w:pStyle w:val="ListParagraph"/>
        <w:numPr>
          <w:ilvl w:val="0"/>
          <w:numId w:val="6"/>
        </w:numPr>
        <w:rPr>
          <w:rFonts w:cstheme="minorHAnsi"/>
          <w:sz w:val="24"/>
          <w:szCs w:val="24"/>
        </w:rPr>
      </w:pPr>
      <w:r w:rsidRPr="00514D5A">
        <w:rPr>
          <w:rFonts w:cstheme="minorHAnsi"/>
          <w:sz w:val="24"/>
          <w:szCs w:val="24"/>
        </w:rPr>
        <w:t xml:space="preserve">Some furniture in the public and staff areas of the museum is inaccessible. </w:t>
      </w:r>
    </w:p>
    <w:p w14:paraId="6E80E00C" w14:textId="76F5597B" w:rsidR="00442CEF" w:rsidRPr="00514D5A" w:rsidRDefault="00442CEF" w:rsidP="00A11FD5">
      <w:pPr>
        <w:pStyle w:val="ListParagraph"/>
        <w:numPr>
          <w:ilvl w:val="0"/>
          <w:numId w:val="6"/>
        </w:numPr>
        <w:rPr>
          <w:rFonts w:cstheme="minorHAnsi"/>
          <w:sz w:val="24"/>
          <w:szCs w:val="24"/>
        </w:rPr>
      </w:pPr>
      <w:r w:rsidRPr="00514D5A">
        <w:rPr>
          <w:rFonts w:cstheme="minorHAnsi"/>
          <w:sz w:val="24"/>
          <w:szCs w:val="24"/>
        </w:rPr>
        <w:t xml:space="preserve">The lack of an accessibility section on the Police Museum’s website, as well as the lack of alt text or image descriptions. </w:t>
      </w:r>
    </w:p>
    <w:p w14:paraId="3D76AD8F" w14:textId="1CBACF10" w:rsidR="0091265B" w:rsidRDefault="0091265B" w:rsidP="00A11FD5">
      <w:pPr>
        <w:rPr>
          <w:rFonts w:cstheme="minorHAnsi"/>
          <w:sz w:val="24"/>
          <w:szCs w:val="24"/>
        </w:rPr>
      </w:pPr>
      <w:r w:rsidRPr="00514D5A">
        <w:rPr>
          <w:rFonts w:cstheme="minorHAnsi"/>
          <w:sz w:val="24"/>
          <w:szCs w:val="24"/>
        </w:rPr>
        <w:t xml:space="preserve">Unfortunately, there are some inaccessible elements to the Police Museum will find difficult or impossible to fix. In these cases, it will have to do the best that it can. </w:t>
      </w:r>
    </w:p>
    <w:p w14:paraId="45A6604B" w14:textId="77777777" w:rsidR="00514D5A" w:rsidRPr="00514D5A" w:rsidRDefault="00514D5A" w:rsidP="00A11FD5">
      <w:pPr>
        <w:rPr>
          <w:rFonts w:cstheme="minorHAnsi"/>
          <w:sz w:val="24"/>
          <w:szCs w:val="24"/>
        </w:rPr>
      </w:pPr>
    </w:p>
    <w:p w14:paraId="05918F58" w14:textId="2BA8DBDC" w:rsidR="005118F0" w:rsidRPr="00514D5A" w:rsidRDefault="00A01EB5" w:rsidP="00593676">
      <w:pPr>
        <w:pStyle w:val="Heading2"/>
      </w:pPr>
      <w:r w:rsidRPr="00514D5A">
        <w:lastRenderedPageBreak/>
        <w:t>A</w:t>
      </w:r>
      <w:r w:rsidR="005118F0" w:rsidRPr="00514D5A">
        <w:t>ccessibility policy</w:t>
      </w:r>
    </w:p>
    <w:p w14:paraId="502E22CC" w14:textId="369FE084" w:rsidR="00C07C3D" w:rsidRPr="00514D5A" w:rsidRDefault="00C07C3D" w:rsidP="00A11FD5">
      <w:pPr>
        <w:rPr>
          <w:rFonts w:cstheme="minorHAnsi"/>
          <w:sz w:val="24"/>
          <w:szCs w:val="24"/>
        </w:rPr>
      </w:pPr>
      <w:r w:rsidRPr="00514D5A">
        <w:rPr>
          <w:rFonts w:cstheme="minorHAnsi"/>
          <w:sz w:val="24"/>
          <w:szCs w:val="24"/>
        </w:rPr>
        <w:t>From the attached analysis</w:t>
      </w:r>
      <w:r w:rsidR="002C0AEC" w:rsidRPr="00514D5A">
        <w:rPr>
          <w:rFonts w:cstheme="minorHAnsi"/>
          <w:sz w:val="24"/>
          <w:szCs w:val="24"/>
        </w:rPr>
        <w:t xml:space="preserve"> and our goals</w:t>
      </w:r>
      <w:r w:rsidRPr="00514D5A">
        <w:rPr>
          <w:rFonts w:cstheme="minorHAnsi"/>
          <w:sz w:val="24"/>
          <w:szCs w:val="24"/>
        </w:rPr>
        <w:t>, we have determined our accessibility policy</w:t>
      </w:r>
      <w:r w:rsidR="002C0AEC" w:rsidRPr="00514D5A">
        <w:rPr>
          <w:rFonts w:cstheme="minorHAnsi"/>
          <w:sz w:val="24"/>
          <w:szCs w:val="24"/>
        </w:rPr>
        <w:t xml:space="preserve"> to </w:t>
      </w:r>
      <w:r w:rsidRPr="00514D5A">
        <w:rPr>
          <w:rFonts w:cstheme="minorHAnsi"/>
          <w:sz w:val="24"/>
          <w:szCs w:val="24"/>
        </w:rPr>
        <w:t xml:space="preserve">be: </w:t>
      </w:r>
    </w:p>
    <w:p w14:paraId="6E250956" w14:textId="69FB7D48" w:rsidR="00A01EB5" w:rsidRPr="00514D5A" w:rsidRDefault="00A01EB5" w:rsidP="00A11FD5">
      <w:pPr>
        <w:pStyle w:val="ListParagraph"/>
        <w:numPr>
          <w:ilvl w:val="0"/>
          <w:numId w:val="7"/>
        </w:numPr>
        <w:rPr>
          <w:rFonts w:cstheme="minorHAnsi"/>
          <w:sz w:val="24"/>
          <w:szCs w:val="24"/>
        </w:rPr>
      </w:pPr>
      <w:r w:rsidRPr="00514D5A">
        <w:rPr>
          <w:rFonts w:cstheme="minorHAnsi"/>
          <w:sz w:val="24"/>
          <w:szCs w:val="24"/>
        </w:rPr>
        <w:t xml:space="preserve">The Police Museum will provide disability awareness training for their staff members. </w:t>
      </w:r>
      <w:r w:rsidR="00FF6C03" w:rsidRPr="00514D5A">
        <w:rPr>
          <w:rFonts w:cstheme="minorHAnsi"/>
          <w:sz w:val="24"/>
          <w:szCs w:val="24"/>
        </w:rPr>
        <w:t>This is sometimes known as disability responsiveness training.</w:t>
      </w:r>
    </w:p>
    <w:p w14:paraId="6E0E5F23" w14:textId="150333AB" w:rsidR="00C07C3D" w:rsidRPr="00514D5A" w:rsidRDefault="00FF6C03" w:rsidP="00A11FD5">
      <w:pPr>
        <w:pStyle w:val="ListParagraph"/>
        <w:numPr>
          <w:ilvl w:val="0"/>
          <w:numId w:val="7"/>
        </w:numPr>
        <w:rPr>
          <w:rFonts w:cstheme="minorHAnsi"/>
          <w:sz w:val="24"/>
          <w:szCs w:val="24"/>
        </w:rPr>
      </w:pPr>
      <w:r w:rsidRPr="00514D5A">
        <w:rPr>
          <w:rFonts w:cstheme="minorHAnsi"/>
          <w:sz w:val="24"/>
          <w:szCs w:val="24"/>
        </w:rPr>
        <w:t>We</w:t>
      </w:r>
      <w:r w:rsidR="0057013B" w:rsidRPr="00514D5A">
        <w:rPr>
          <w:rFonts w:cstheme="minorHAnsi"/>
          <w:sz w:val="24"/>
          <w:szCs w:val="24"/>
        </w:rPr>
        <w:t xml:space="preserve"> will investigate specialised technologies and aids, select ones that fulfil the needs of the museum’s visitors, and implement them. </w:t>
      </w:r>
    </w:p>
    <w:p w14:paraId="35D719A1" w14:textId="0A815ECB" w:rsidR="0091265B" w:rsidRPr="00514D5A" w:rsidRDefault="0091265B" w:rsidP="00A11FD5">
      <w:pPr>
        <w:pStyle w:val="ListParagraph"/>
        <w:numPr>
          <w:ilvl w:val="0"/>
          <w:numId w:val="7"/>
        </w:numPr>
        <w:rPr>
          <w:rFonts w:cstheme="minorHAnsi"/>
          <w:sz w:val="24"/>
          <w:szCs w:val="24"/>
        </w:rPr>
      </w:pPr>
      <w:r w:rsidRPr="00514D5A">
        <w:rPr>
          <w:rFonts w:cstheme="minorHAnsi"/>
          <w:sz w:val="24"/>
          <w:szCs w:val="24"/>
        </w:rPr>
        <w:t xml:space="preserve">We will </w:t>
      </w:r>
      <w:r w:rsidR="002C0AEC" w:rsidRPr="00514D5A">
        <w:rPr>
          <w:rFonts w:cstheme="minorHAnsi"/>
          <w:sz w:val="24"/>
          <w:szCs w:val="24"/>
        </w:rPr>
        <w:t>ensure</w:t>
      </w:r>
      <w:r w:rsidRPr="00514D5A">
        <w:rPr>
          <w:rFonts w:cstheme="minorHAnsi"/>
          <w:sz w:val="24"/>
          <w:szCs w:val="24"/>
        </w:rPr>
        <w:t xml:space="preserve"> that all exhibitions </w:t>
      </w:r>
      <w:r w:rsidR="00A01EB5" w:rsidRPr="00514D5A">
        <w:rPr>
          <w:rFonts w:cstheme="minorHAnsi"/>
          <w:sz w:val="24"/>
          <w:szCs w:val="24"/>
        </w:rPr>
        <w:t xml:space="preserve">follow </w:t>
      </w:r>
      <w:r w:rsidRPr="00514D5A">
        <w:rPr>
          <w:rFonts w:cstheme="minorHAnsi"/>
          <w:sz w:val="24"/>
          <w:szCs w:val="24"/>
        </w:rPr>
        <w:t xml:space="preserve">our Standard Operating Procedures.  </w:t>
      </w:r>
    </w:p>
    <w:p w14:paraId="761392AA" w14:textId="2E7502C5" w:rsidR="0091265B" w:rsidRPr="00514D5A" w:rsidRDefault="0091265B" w:rsidP="00A11FD5">
      <w:pPr>
        <w:pStyle w:val="ListParagraph"/>
        <w:numPr>
          <w:ilvl w:val="1"/>
          <w:numId w:val="7"/>
        </w:numPr>
        <w:rPr>
          <w:rFonts w:cstheme="minorHAnsi"/>
          <w:sz w:val="24"/>
          <w:szCs w:val="24"/>
        </w:rPr>
      </w:pPr>
      <w:r w:rsidRPr="00514D5A">
        <w:rPr>
          <w:rFonts w:cstheme="minorHAnsi"/>
          <w:sz w:val="24"/>
          <w:szCs w:val="24"/>
        </w:rPr>
        <w:t xml:space="preserve">General Accessibility </w:t>
      </w:r>
    </w:p>
    <w:p w14:paraId="1B65F2D5" w14:textId="690B3EB1" w:rsidR="0091265B" w:rsidRPr="00514D5A" w:rsidRDefault="0091265B" w:rsidP="00A11FD5">
      <w:pPr>
        <w:pStyle w:val="ListParagraph"/>
        <w:numPr>
          <w:ilvl w:val="1"/>
          <w:numId w:val="7"/>
        </w:numPr>
        <w:rPr>
          <w:rFonts w:cstheme="minorHAnsi"/>
          <w:sz w:val="24"/>
          <w:szCs w:val="24"/>
        </w:rPr>
      </w:pPr>
      <w:r w:rsidRPr="00514D5A">
        <w:rPr>
          <w:rFonts w:cstheme="minorHAnsi"/>
          <w:sz w:val="24"/>
          <w:szCs w:val="24"/>
        </w:rPr>
        <w:t xml:space="preserve">Panels and Labels </w:t>
      </w:r>
    </w:p>
    <w:p w14:paraId="6F70F293" w14:textId="5EB72D30" w:rsidR="00293762" w:rsidRPr="00514D5A" w:rsidRDefault="00293762" w:rsidP="00A11FD5">
      <w:pPr>
        <w:pStyle w:val="ListParagraph"/>
        <w:numPr>
          <w:ilvl w:val="1"/>
          <w:numId w:val="7"/>
        </w:numPr>
        <w:rPr>
          <w:rFonts w:cstheme="minorHAnsi"/>
          <w:sz w:val="24"/>
          <w:szCs w:val="24"/>
        </w:rPr>
      </w:pPr>
      <w:r w:rsidRPr="00514D5A">
        <w:rPr>
          <w:rFonts w:cstheme="minorHAnsi"/>
          <w:sz w:val="24"/>
          <w:szCs w:val="24"/>
        </w:rPr>
        <w:t xml:space="preserve">Sensory Stimuli </w:t>
      </w:r>
    </w:p>
    <w:p w14:paraId="279718A5" w14:textId="2A47F113" w:rsidR="002C0AEC" w:rsidRPr="00514D5A" w:rsidRDefault="002C0AEC" w:rsidP="00A11FD5">
      <w:pPr>
        <w:pStyle w:val="ListParagraph"/>
        <w:numPr>
          <w:ilvl w:val="0"/>
          <w:numId w:val="7"/>
        </w:numPr>
        <w:rPr>
          <w:rFonts w:cstheme="minorHAnsi"/>
          <w:sz w:val="24"/>
          <w:szCs w:val="24"/>
        </w:rPr>
      </w:pPr>
      <w:r w:rsidRPr="00514D5A">
        <w:rPr>
          <w:rFonts w:cstheme="minorHAnsi"/>
          <w:sz w:val="24"/>
          <w:szCs w:val="24"/>
        </w:rPr>
        <w:t xml:space="preserve">We will ensure that all staff only areas follow general accessibility guidelines in our Standard Operating Procedures. </w:t>
      </w:r>
    </w:p>
    <w:p w14:paraId="648BAB3C" w14:textId="01443470" w:rsidR="00FF6C03" w:rsidRPr="00514D5A" w:rsidRDefault="00FF6C03" w:rsidP="00A11FD5">
      <w:pPr>
        <w:pStyle w:val="ListParagraph"/>
        <w:numPr>
          <w:ilvl w:val="0"/>
          <w:numId w:val="7"/>
        </w:numPr>
        <w:rPr>
          <w:rFonts w:cstheme="minorHAnsi"/>
          <w:sz w:val="24"/>
          <w:szCs w:val="24"/>
        </w:rPr>
      </w:pPr>
      <w:r w:rsidRPr="00514D5A">
        <w:rPr>
          <w:rFonts w:cstheme="minorHAnsi"/>
          <w:sz w:val="24"/>
          <w:szCs w:val="24"/>
        </w:rPr>
        <w:t>We will introduce missing accessibility amenities</w:t>
      </w:r>
      <w:r w:rsidR="002C0AEC" w:rsidRPr="00514D5A">
        <w:rPr>
          <w:rFonts w:cstheme="minorHAnsi"/>
          <w:sz w:val="24"/>
          <w:szCs w:val="24"/>
        </w:rPr>
        <w:t>, as listed in the Accessibility Report,</w:t>
      </w:r>
      <w:r w:rsidRPr="00514D5A">
        <w:rPr>
          <w:rFonts w:cstheme="minorHAnsi"/>
          <w:sz w:val="24"/>
          <w:szCs w:val="24"/>
        </w:rPr>
        <w:t xml:space="preserve"> to the Police Museum. </w:t>
      </w:r>
    </w:p>
    <w:p w14:paraId="4C8DB410" w14:textId="5D350565" w:rsidR="00C07C3D" w:rsidRPr="00514D5A" w:rsidRDefault="00293762" w:rsidP="00A11FD5">
      <w:pPr>
        <w:pStyle w:val="ListParagraph"/>
        <w:numPr>
          <w:ilvl w:val="0"/>
          <w:numId w:val="7"/>
        </w:numPr>
        <w:rPr>
          <w:rFonts w:cstheme="minorHAnsi"/>
          <w:sz w:val="24"/>
          <w:szCs w:val="24"/>
        </w:rPr>
      </w:pPr>
      <w:r w:rsidRPr="00514D5A">
        <w:rPr>
          <w:rFonts w:cstheme="minorHAnsi"/>
          <w:sz w:val="24"/>
          <w:szCs w:val="24"/>
        </w:rPr>
        <w:t>Inaccessible furniture will be swapped out for more accessible versions</w:t>
      </w:r>
      <w:r w:rsidR="00A01EB5" w:rsidRPr="00514D5A">
        <w:rPr>
          <w:rFonts w:cstheme="minorHAnsi"/>
          <w:sz w:val="24"/>
          <w:szCs w:val="24"/>
        </w:rPr>
        <w:t xml:space="preserve"> according to our Standard Operating Procedures</w:t>
      </w:r>
      <w:r w:rsidRPr="00514D5A">
        <w:rPr>
          <w:rFonts w:cstheme="minorHAnsi"/>
          <w:sz w:val="24"/>
          <w:szCs w:val="24"/>
        </w:rPr>
        <w:t xml:space="preserve">. </w:t>
      </w:r>
    </w:p>
    <w:p w14:paraId="05DAC593" w14:textId="1DA07AD3" w:rsidR="00FF6C03" w:rsidRPr="00514D5A" w:rsidRDefault="00FF6C03" w:rsidP="00A11FD5">
      <w:pPr>
        <w:pStyle w:val="ListParagraph"/>
        <w:numPr>
          <w:ilvl w:val="0"/>
          <w:numId w:val="7"/>
        </w:numPr>
        <w:rPr>
          <w:rFonts w:cstheme="minorHAnsi"/>
          <w:sz w:val="24"/>
          <w:szCs w:val="24"/>
        </w:rPr>
      </w:pPr>
      <w:r w:rsidRPr="00514D5A">
        <w:rPr>
          <w:rFonts w:cstheme="minorHAnsi"/>
          <w:sz w:val="24"/>
          <w:szCs w:val="24"/>
        </w:rPr>
        <w:t>We will update the Police Museum’s website so that it is more accessible and follows our Standard Operating Procedures.</w:t>
      </w:r>
    </w:p>
    <w:p w14:paraId="1A2F9BBB" w14:textId="7EE67428" w:rsidR="004A4CD4" w:rsidRPr="00514D5A" w:rsidRDefault="00FF6C03" w:rsidP="00A11FD5">
      <w:pPr>
        <w:pStyle w:val="ListParagraph"/>
        <w:numPr>
          <w:ilvl w:val="0"/>
          <w:numId w:val="7"/>
        </w:numPr>
        <w:rPr>
          <w:rFonts w:cstheme="minorHAnsi"/>
          <w:sz w:val="24"/>
          <w:szCs w:val="24"/>
        </w:rPr>
      </w:pPr>
      <w:r w:rsidRPr="00514D5A">
        <w:rPr>
          <w:rFonts w:cstheme="minorHAnsi"/>
          <w:sz w:val="24"/>
          <w:szCs w:val="24"/>
        </w:rPr>
        <w:t>All social media posts will follow the guidelines set in our Standard Operating Procedures.</w:t>
      </w:r>
    </w:p>
    <w:p w14:paraId="3797B632" w14:textId="04FE2567" w:rsidR="00C07C3D" w:rsidRPr="00514D5A" w:rsidRDefault="001B2BDB" w:rsidP="00593676">
      <w:pPr>
        <w:pStyle w:val="Heading2"/>
      </w:pPr>
      <w:bookmarkStart w:id="0" w:name="_GoBack"/>
      <w:r w:rsidRPr="00514D5A">
        <w:t>The action plan to implement our accessibility policy is:</w:t>
      </w:r>
    </w:p>
    <w:tbl>
      <w:tblPr>
        <w:tblStyle w:val="TableGrid"/>
        <w:tblW w:w="9067" w:type="dxa"/>
        <w:jc w:val="right"/>
        <w:tblLook w:val="04A0" w:firstRow="1" w:lastRow="0" w:firstColumn="1" w:lastColumn="0" w:noHBand="0" w:noVBand="1"/>
      </w:tblPr>
      <w:tblGrid>
        <w:gridCol w:w="1985"/>
        <w:gridCol w:w="3539"/>
        <w:gridCol w:w="1701"/>
        <w:gridCol w:w="1842"/>
      </w:tblGrid>
      <w:tr w:rsidR="001B2BDB" w:rsidRPr="00514D5A" w14:paraId="6924A806" w14:textId="77777777" w:rsidTr="001B6C24">
        <w:trPr>
          <w:trHeight w:val="426"/>
          <w:jc w:val="right"/>
        </w:trPr>
        <w:tc>
          <w:tcPr>
            <w:tcW w:w="1985" w:type="dxa"/>
            <w:tcBorders>
              <w:top w:val="single" w:sz="4" w:space="0" w:color="00359E"/>
              <w:left w:val="single" w:sz="4" w:space="0" w:color="00359E"/>
              <w:bottom w:val="single" w:sz="4" w:space="0" w:color="00359E"/>
              <w:right w:val="single" w:sz="4" w:space="0" w:color="00359E"/>
            </w:tcBorders>
            <w:shd w:val="clear" w:color="auto" w:fill="002060"/>
            <w:vAlign w:val="center"/>
          </w:tcPr>
          <w:bookmarkEnd w:id="0"/>
          <w:p w14:paraId="5088DF20" w14:textId="5D88EA6A" w:rsidR="00C07C3D" w:rsidRPr="00514D5A" w:rsidRDefault="00C07C3D" w:rsidP="00A11FD5">
            <w:pPr>
              <w:rPr>
                <w:rFonts w:cstheme="minorHAnsi"/>
                <w:b/>
                <w:bCs/>
                <w:color w:val="FFFFFF" w:themeColor="background1"/>
                <w:sz w:val="24"/>
                <w:szCs w:val="24"/>
              </w:rPr>
            </w:pPr>
            <w:r w:rsidRPr="00514D5A">
              <w:rPr>
                <w:rFonts w:cstheme="minorHAnsi"/>
                <w:b/>
                <w:bCs/>
                <w:color w:val="FFFFFF" w:themeColor="background1"/>
                <w:sz w:val="24"/>
                <w:szCs w:val="24"/>
              </w:rPr>
              <w:t>Policy Activity</w:t>
            </w:r>
          </w:p>
        </w:tc>
        <w:tc>
          <w:tcPr>
            <w:tcW w:w="3539" w:type="dxa"/>
            <w:tcBorders>
              <w:top w:val="single" w:sz="4" w:space="0" w:color="002060"/>
              <w:left w:val="single" w:sz="4" w:space="0" w:color="00359E"/>
              <w:bottom w:val="single" w:sz="4" w:space="0" w:color="002060"/>
              <w:right w:val="single" w:sz="4" w:space="0" w:color="002060"/>
            </w:tcBorders>
            <w:shd w:val="clear" w:color="auto" w:fill="002060"/>
            <w:vAlign w:val="center"/>
          </w:tcPr>
          <w:p w14:paraId="2DE4A060" w14:textId="64653511" w:rsidR="00C07C3D" w:rsidRPr="00514D5A" w:rsidRDefault="00C07C3D" w:rsidP="00A11FD5">
            <w:pPr>
              <w:rPr>
                <w:rFonts w:cstheme="minorHAnsi"/>
                <w:b/>
                <w:bCs/>
                <w:color w:val="FFFFFF" w:themeColor="background1"/>
                <w:sz w:val="24"/>
                <w:szCs w:val="24"/>
              </w:rPr>
            </w:pPr>
            <w:r w:rsidRPr="00514D5A">
              <w:rPr>
                <w:rFonts w:cstheme="minorHAnsi"/>
                <w:b/>
                <w:bCs/>
                <w:color w:val="FFFFFF" w:themeColor="background1"/>
                <w:sz w:val="24"/>
                <w:szCs w:val="24"/>
              </w:rPr>
              <w:t>Year 1</w:t>
            </w:r>
          </w:p>
        </w:tc>
        <w:tc>
          <w:tcPr>
            <w:tcW w:w="1701" w:type="dxa"/>
            <w:tcBorders>
              <w:top w:val="single" w:sz="4" w:space="0" w:color="002060"/>
              <w:left w:val="single" w:sz="4" w:space="0" w:color="002060"/>
              <w:bottom w:val="single" w:sz="4" w:space="0" w:color="002060"/>
              <w:right w:val="single" w:sz="4" w:space="0" w:color="002060"/>
            </w:tcBorders>
            <w:shd w:val="clear" w:color="auto" w:fill="002060"/>
            <w:vAlign w:val="center"/>
          </w:tcPr>
          <w:p w14:paraId="36E93CDF" w14:textId="60BBCB25" w:rsidR="00C07C3D" w:rsidRPr="00514D5A" w:rsidRDefault="00C07C3D" w:rsidP="00A11FD5">
            <w:pPr>
              <w:rPr>
                <w:rFonts w:cstheme="minorHAnsi"/>
                <w:b/>
                <w:bCs/>
                <w:color w:val="FFFFFF" w:themeColor="background1"/>
                <w:sz w:val="24"/>
                <w:szCs w:val="24"/>
              </w:rPr>
            </w:pPr>
            <w:r w:rsidRPr="00514D5A">
              <w:rPr>
                <w:rFonts w:cstheme="minorHAnsi"/>
                <w:b/>
                <w:bCs/>
                <w:color w:val="FFFFFF" w:themeColor="background1"/>
                <w:sz w:val="24"/>
                <w:szCs w:val="24"/>
              </w:rPr>
              <w:t>Year 2</w:t>
            </w:r>
          </w:p>
        </w:tc>
        <w:tc>
          <w:tcPr>
            <w:tcW w:w="1842" w:type="dxa"/>
            <w:tcBorders>
              <w:top w:val="single" w:sz="4" w:space="0" w:color="002060"/>
              <w:left w:val="single" w:sz="4" w:space="0" w:color="002060"/>
              <w:bottom w:val="single" w:sz="4" w:space="0" w:color="002060"/>
              <w:right w:val="single" w:sz="4" w:space="0" w:color="002060"/>
            </w:tcBorders>
            <w:shd w:val="clear" w:color="auto" w:fill="002060"/>
            <w:vAlign w:val="center"/>
          </w:tcPr>
          <w:p w14:paraId="2CD1011E" w14:textId="75CAB758" w:rsidR="00C07C3D" w:rsidRPr="00514D5A" w:rsidRDefault="00C07C3D" w:rsidP="00A11FD5">
            <w:pPr>
              <w:rPr>
                <w:rFonts w:cstheme="minorHAnsi"/>
                <w:b/>
                <w:bCs/>
                <w:color w:val="FFFFFF" w:themeColor="background1"/>
                <w:sz w:val="24"/>
                <w:szCs w:val="24"/>
              </w:rPr>
            </w:pPr>
            <w:r w:rsidRPr="00514D5A">
              <w:rPr>
                <w:rFonts w:cstheme="minorHAnsi"/>
                <w:b/>
                <w:bCs/>
                <w:color w:val="FFFFFF" w:themeColor="background1"/>
                <w:sz w:val="24"/>
                <w:szCs w:val="24"/>
              </w:rPr>
              <w:t>Year 3</w:t>
            </w:r>
          </w:p>
        </w:tc>
      </w:tr>
      <w:tr w:rsidR="001B2BDB" w:rsidRPr="00514D5A" w14:paraId="756B6437" w14:textId="77777777" w:rsidTr="001B6C24">
        <w:trPr>
          <w:trHeight w:val="809"/>
          <w:jc w:val="right"/>
        </w:trPr>
        <w:tc>
          <w:tcPr>
            <w:tcW w:w="1985" w:type="dxa"/>
            <w:tcBorders>
              <w:top w:val="single" w:sz="4" w:space="0" w:color="00359E"/>
              <w:left w:val="single" w:sz="4" w:space="0" w:color="00359E"/>
              <w:bottom w:val="single" w:sz="4" w:space="0" w:color="00359E"/>
              <w:right w:val="single" w:sz="4" w:space="0" w:color="00359E"/>
            </w:tcBorders>
            <w:shd w:val="clear" w:color="auto" w:fill="002060"/>
          </w:tcPr>
          <w:p w14:paraId="44090470" w14:textId="40774E3E" w:rsidR="001F5AB5" w:rsidRPr="00514D5A" w:rsidRDefault="001F5AB5" w:rsidP="00A11FD5">
            <w:pPr>
              <w:rPr>
                <w:rFonts w:cstheme="minorHAnsi"/>
                <w:color w:val="FFFFFF" w:themeColor="background1"/>
                <w:sz w:val="24"/>
                <w:szCs w:val="24"/>
              </w:rPr>
            </w:pPr>
            <w:r w:rsidRPr="00514D5A">
              <w:rPr>
                <w:rFonts w:cstheme="minorHAnsi"/>
                <w:color w:val="FFFFFF" w:themeColor="background1"/>
                <w:sz w:val="24"/>
                <w:szCs w:val="24"/>
              </w:rPr>
              <w:t xml:space="preserve">1. </w:t>
            </w:r>
            <w:r w:rsidR="001B2BDB" w:rsidRPr="00514D5A">
              <w:rPr>
                <w:rFonts w:cstheme="minorHAnsi"/>
                <w:color w:val="FFFFFF" w:themeColor="background1"/>
                <w:sz w:val="24"/>
                <w:szCs w:val="24"/>
              </w:rPr>
              <w:t>A</w:t>
            </w:r>
            <w:r w:rsidRPr="00514D5A">
              <w:rPr>
                <w:rFonts w:cstheme="minorHAnsi"/>
                <w:color w:val="FFFFFF" w:themeColor="background1"/>
                <w:sz w:val="24"/>
                <w:szCs w:val="24"/>
              </w:rPr>
              <w:t>wareness training</w:t>
            </w:r>
          </w:p>
        </w:tc>
        <w:tc>
          <w:tcPr>
            <w:tcW w:w="7082" w:type="dxa"/>
            <w:gridSpan w:val="3"/>
            <w:tcBorders>
              <w:top w:val="single" w:sz="4" w:space="0" w:color="002060"/>
              <w:left w:val="single" w:sz="4" w:space="0" w:color="00359E"/>
            </w:tcBorders>
          </w:tcPr>
          <w:p w14:paraId="0A623A83" w14:textId="7D050B91" w:rsidR="001F5AB5" w:rsidRPr="00514D5A" w:rsidRDefault="001F5AB5" w:rsidP="00A11FD5">
            <w:pPr>
              <w:rPr>
                <w:rFonts w:cstheme="minorHAnsi"/>
                <w:sz w:val="24"/>
                <w:szCs w:val="24"/>
              </w:rPr>
            </w:pPr>
            <w:r w:rsidRPr="00514D5A">
              <w:rPr>
                <w:rFonts w:cstheme="minorHAnsi"/>
                <w:sz w:val="24"/>
                <w:szCs w:val="24"/>
              </w:rPr>
              <w:t xml:space="preserve">All staff will receive disability awareness training. Refresher courses should be held every 2 years.  </w:t>
            </w:r>
          </w:p>
        </w:tc>
      </w:tr>
      <w:tr w:rsidR="001B2BDB" w:rsidRPr="00514D5A" w14:paraId="6C2E0CF8" w14:textId="77777777" w:rsidTr="001B6C24">
        <w:trPr>
          <w:trHeight w:val="2159"/>
          <w:jc w:val="right"/>
        </w:trPr>
        <w:tc>
          <w:tcPr>
            <w:tcW w:w="1985" w:type="dxa"/>
            <w:tcBorders>
              <w:top w:val="single" w:sz="4" w:space="0" w:color="00359E"/>
              <w:left w:val="single" w:sz="4" w:space="0" w:color="00359E"/>
              <w:bottom w:val="single" w:sz="4" w:space="0" w:color="00359E"/>
              <w:right w:val="single" w:sz="4" w:space="0" w:color="00359E"/>
            </w:tcBorders>
            <w:shd w:val="clear" w:color="auto" w:fill="002060"/>
          </w:tcPr>
          <w:p w14:paraId="3E4EDD00" w14:textId="7F1759A2" w:rsidR="00C07C3D" w:rsidRPr="00514D5A" w:rsidRDefault="00A01EB5" w:rsidP="00A11FD5">
            <w:pPr>
              <w:rPr>
                <w:rFonts w:cstheme="minorHAnsi"/>
                <w:color w:val="FFFFFF" w:themeColor="background1"/>
                <w:sz w:val="24"/>
                <w:szCs w:val="24"/>
              </w:rPr>
            </w:pPr>
            <w:r w:rsidRPr="00514D5A">
              <w:rPr>
                <w:rFonts w:cstheme="minorHAnsi"/>
                <w:color w:val="FFFFFF" w:themeColor="background1"/>
                <w:sz w:val="24"/>
                <w:szCs w:val="24"/>
              </w:rPr>
              <w:t>2</w:t>
            </w:r>
            <w:r w:rsidR="0057013B" w:rsidRPr="00514D5A">
              <w:rPr>
                <w:rFonts w:cstheme="minorHAnsi"/>
                <w:color w:val="FFFFFF" w:themeColor="background1"/>
                <w:sz w:val="24"/>
                <w:szCs w:val="24"/>
              </w:rPr>
              <w:t xml:space="preserve">. </w:t>
            </w:r>
            <w:r w:rsidR="0091265B" w:rsidRPr="00514D5A">
              <w:rPr>
                <w:rFonts w:cstheme="minorHAnsi"/>
                <w:color w:val="FFFFFF" w:themeColor="background1"/>
                <w:sz w:val="24"/>
                <w:szCs w:val="24"/>
              </w:rPr>
              <w:t>S</w:t>
            </w:r>
            <w:r w:rsidR="0057013B" w:rsidRPr="00514D5A">
              <w:rPr>
                <w:rFonts w:cstheme="minorHAnsi"/>
                <w:color w:val="FFFFFF" w:themeColor="background1"/>
                <w:sz w:val="24"/>
                <w:szCs w:val="24"/>
              </w:rPr>
              <w:t>pecialised technologies and aids</w:t>
            </w:r>
          </w:p>
        </w:tc>
        <w:tc>
          <w:tcPr>
            <w:tcW w:w="3539" w:type="dxa"/>
            <w:tcBorders>
              <w:left w:val="single" w:sz="4" w:space="0" w:color="00359E"/>
              <w:bottom w:val="single" w:sz="4" w:space="0" w:color="00359E"/>
            </w:tcBorders>
          </w:tcPr>
          <w:p w14:paraId="41C69D2F" w14:textId="77777777" w:rsidR="00C07C3D" w:rsidRPr="00514D5A" w:rsidRDefault="0057013B" w:rsidP="00A11FD5">
            <w:pPr>
              <w:pStyle w:val="ListParagraph"/>
              <w:numPr>
                <w:ilvl w:val="0"/>
                <w:numId w:val="8"/>
              </w:numPr>
              <w:ind w:left="360"/>
              <w:rPr>
                <w:rFonts w:cstheme="minorHAnsi"/>
                <w:sz w:val="24"/>
                <w:szCs w:val="24"/>
              </w:rPr>
            </w:pPr>
            <w:r w:rsidRPr="00514D5A">
              <w:rPr>
                <w:rFonts w:cstheme="minorHAnsi"/>
                <w:sz w:val="24"/>
                <w:szCs w:val="24"/>
              </w:rPr>
              <w:t xml:space="preserve">Investigate specialised technologies and aids, factoring in practicality and cost. </w:t>
            </w:r>
          </w:p>
          <w:p w14:paraId="2DA25731" w14:textId="47179B6A" w:rsidR="00100C06" w:rsidRPr="00514D5A" w:rsidRDefault="00100C06" w:rsidP="00A11FD5">
            <w:pPr>
              <w:pStyle w:val="ListParagraph"/>
              <w:numPr>
                <w:ilvl w:val="0"/>
                <w:numId w:val="8"/>
              </w:numPr>
              <w:ind w:left="360"/>
              <w:rPr>
                <w:rFonts w:cstheme="minorHAnsi"/>
                <w:sz w:val="24"/>
                <w:szCs w:val="24"/>
              </w:rPr>
            </w:pPr>
            <w:r w:rsidRPr="00514D5A">
              <w:rPr>
                <w:rFonts w:cstheme="minorHAnsi"/>
                <w:sz w:val="24"/>
                <w:szCs w:val="24"/>
              </w:rPr>
              <w:t xml:space="preserve">Implement </w:t>
            </w:r>
            <w:r w:rsidR="008639F9" w:rsidRPr="00514D5A">
              <w:rPr>
                <w:rFonts w:cstheme="minorHAnsi"/>
                <w:sz w:val="24"/>
                <w:szCs w:val="24"/>
              </w:rPr>
              <w:t>suitable</w:t>
            </w:r>
            <w:r w:rsidRPr="00514D5A">
              <w:rPr>
                <w:rFonts w:cstheme="minorHAnsi"/>
                <w:sz w:val="24"/>
                <w:szCs w:val="24"/>
              </w:rPr>
              <w:t xml:space="preserve"> technologies and aids. </w:t>
            </w:r>
          </w:p>
          <w:p w14:paraId="72811546" w14:textId="1BD5190B" w:rsidR="00100C06" w:rsidRPr="00514D5A" w:rsidRDefault="00100C06" w:rsidP="00A11FD5">
            <w:pPr>
              <w:pStyle w:val="ListParagraph"/>
              <w:numPr>
                <w:ilvl w:val="0"/>
                <w:numId w:val="8"/>
              </w:numPr>
              <w:ind w:left="360"/>
              <w:rPr>
                <w:rFonts w:cstheme="minorHAnsi"/>
                <w:sz w:val="24"/>
                <w:szCs w:val="24"/>
              </w:rPr>
            </w:pPr>
            <w:r w:rsidRPr="00514D5A">
              <w:rPr>
                <w:rFonts w:cstheme="minorHAnsi"/>
                <w:sz w:val="24"/>
                <w:szCs w:val="24"/>
              </w:rPr>
              <w:t>Train staff to use the technologies and aids</w:t>
            </w:r>
            <w:r w:rsidR="00293762" w:rsidRPr="00514D5A">
              <w:rPr>
                <w:rFonts w:cstheme="minorHAnsi"/>
                <w:sz w:val="24"/>
                <w:szCs w:val="24"/>
              </w:rPr>
              <w:t>.</w:t>
            </w:r>
            <w:r w:rsidRPr="00514D5A">
              <w:rPr>
                <w:rFonts w:cstheme="minorHAnsi"/>
                <w:sz w:val="24"/>
                <w:szCs w:val="24"/>
              </w:rPr>
              <w:t xml:space="preserve"> </w:t>
            </w:r>
          </w:p>
        </w:tc>
        <w:tc>
          <w:tcPr>
            <w:tcW w:w="1701" w:type="dxa"/>
            <w:tcBorders>
              <w:bottom w:val="single" w:sz="4" w:space="0" w:color="00359E"/>
            </w:tcBorders>
          </w:tcPr>
          <w:p w14:paraId="5D1A1B2F" w14:textId="503D1BB4" w:rsidR="00C07C3D" w:rsidRPr="00514D5A" w:rsidRDefault="00AD0D8F" w:rsidP="00A11FD5">
            <w:pPr>
              <w:rPr>
                <w:rFonts w:cstheme="minorHAnsi"/>
                <w:sz w:val="24"/>
                <w:szCs w:val="24"/>
              </w:rPr>
            </w:pPr>
            <w:r w:rsidRPr="00514D5A">
              <w:rPr>
                <w:rFonts w:cstheme="minorHAnsi"/>
                <w:sz w:val="24"/>
                <w:szCs w:val="24"/>
              </w:rPr>
              <w:t>Progress as funds and planning allow.</w:t>
            </w:r>
          </w:p>
        </w:tc>
        <w:tc>
          <w:tcPr>
            <w:tcW w:w="1842" w:type="dxa"/>
            <w:tcBorders>
              <w:bottom w:val="single" w:sz="4" w:space="0" w:color="00359E"/>
            </w:tcBorders>
          </w:tcPr>
          <w:p w14:paraId="4D91C48C" w14:textId="535CBB54" w:rsidR="00C07C3D" w:rsidRPr="00514D5A" w:rsidRDefault="00AD0D8F" w:rsidP="00A11FD5">
            <w:pPr>
              <w:rPr>
                <w:rFonts w:cstheme="minorHAnsi"/>
                <w:sz w:val="24"/>
                <w:szCs w:val="24"/>
              </w:rPr>
            </w:pPr>
            <w:r w:rsidRPr="00514D5A">
              <w:rPr>
                <w:rFonts w:cstheme="minorHAnsi"/>
                <w:sz w:val="24"/>
                <w:szCs w:val="24"/>
              </w:rPr>
              <w:t>Progress as funds and planning allow.</w:t>
            </w:r>
          </w:p>
        </w:tc>
      </w:tr>
      <w:tr w:rsidR="00A11FD5" w:rsidRPr="00514D5A" w14:paraId="64793963" w14:textId="77777777" w:rsidTr="001B6C24">
        <w:trPr>
          <w:trHeight w:val="425"/>
          <w:jc w:val="right"/>
        </w:trPr>
        <w:tc>
          <w:tcPr>
            <w:tcW w:w="1985" w:type="dxa"/>
            <w:tcBorders>
              <w:top w:val="single" w:sz="4" w:space="0" w:color="00359E"/>
              <w:left w:val="single" w:sz="4" w:space="0" w:color="00359E"/>
              <w:bottom w:val="single" w:sz="4" w:space="0" w:color="00359E"/>
              <w:right w:val="single" w:sz="4" w:space="0" w:color="00359E"/>
            </w:tcBorders>
            <w:shd w:val="clear" w:color="auto" w:fill="002060"/>
            <w:vAlign w:val="center"/>
          </w:tcPr>
          <w:p w14:paraId="3BF96653" w14:textId="712912F1" w:rsidR="00A11FD5" w:rsidRPr="00514D5A" w:rsidRDefault="00A11FD5" w:rsidP="00A11FD5">
            <w:pPr>
              <w:rPr>
                <w:rFonts w:cstheme="minorHAnsi"/>
                <w:b/>
                <w:bCs/>
                <w:color w:val="FFFFFF" w:themeColor="background1"/>
                <w:sz w:val="24"/>
                <w:szCs w:val="24"/>
              </w:rPr>
            </w:pPr>
            <w:r w:rsidRPr="00514D5A">
              <w:rPr>
                <w:rFonts w:cstheme="minorHAnsi"/>
                <w:b/>
                <w:bCs/>
                <w:color w:val="FFFFFF" w:themeColor="background1"/>
                <w:sz w:val="24"/>
                <w:szCs w:val="24"/>
              </w:rPr>
              <w:t>Policy Activity</w:t>
            </w:r>
          </w:p>
        </w:tc>
        <w:tc>
          <w:tcPr>
            <w:tcW w:w="3539" w:type="dxa"/>
            <w:tcBorders>
              <w:top w:val="single" w:sz="4" w:space="0" w:color="00359E"/>
              <w:left w:val="single" w:sz="4" w:space="0" w:color="00359E"/>
              <w:bottom w:val="single" w:sz="4" w:space="0" w:color="00359E"/>
              <w:right w:val="single" w:sz="4" w:space="0" w:color="00359E"/>
            </w:tcBorders>
            <w:shd w:val="clear" w:color="auto" w:fill="002060"/>
            <w:vAlign w:val="center"/>
          </w:tcPr>
          <w:p w14:paraId="69D74867" w14:textId="5CEFEA47" w:rsidR="00A11FD5" w:rsidRPr="00514D5A" w:rsidRDefault="00A11FD5" w:rsidP="00A11FD5">
            <w:pPr>
              <w:rPr>
                <w:rFonts w:cstheme="minorHAnsi"/>
                <w:b/>
                <w:bCs/>
                <w:color w:val="FFFFFF" w:themeColor="background1"/>
                <w:sz w:val="24"/>
                <w:szCs w:val="24"/>
              </w:rPr>
            </w:pPr>
            <w:r w:rsidRPr="00514D5A">
              <w:rPr>
                <w:rFonts w:cstheme="minorHAnsi"/>
                <w:b/>
                <w:bCs/>
                <w:color w:val="FFFFFF" w:themeColor="background1"/>
                <w:sz w:val="24"/>
                <w:szCs w:val="24"/>
              </w:rPr>
              <w:t>Year 1</w:t>
            </w:r>
          </w:p>
        </w:tc>
        <w:tc>
          <w:tcPr>
            <w:tcW w:w="1701" w:type="dxa"/>
            <w:tcBorders>
              <w:top w:val="single" w:sz="4" w:space="0" w:color="00359E"/>
              <w:left w:val="single" w:sz="4" w:space="0" w:color="00359E"/>
              <w:bottom w:val="single" w:sz="4" w:space="0" w:color="00359E"/>
              <w:right w:val="single" w:sz="4" w:space="0" w:color="00359E"/>
            </w:tcBorders>
            <w:shd w:val="clear" w:color="auto" w:fill="002060"/>
            <w:vAlign w:val="center"/>
          </w:tcPr>
          <w:p w14:paraId="030197D9" w14:textId="220525DB" w:rsidR="00A11FD5" w:rsidRPr="00514D5A" w:rsidRDefault="00A11FD5" w:rsidP="00A11FD5">
            <w:pPr>
              <w:rPr>
                <w:rFonts w:cstheme="minorHAnsi"/>
                <w:b/>
                <w:bCs/>
                <w:color w:val="FFFFFF" w:themeColor="background1"/>
                <w:sz w:val="24"/>
                <w:szCs w:val="24"/>
              </w:rPr>
            </w:pPr>
            <w:r w:rsidRPr="00514D5A">
              <w:rPr>
                <w:rFonts w:cstheme="minorHAnsi"/>
                <w:b/>
                <w:bCs/>
                <w:color w:val="FFFFFF" w:themeColor="background1"/>
                <w:sz w:val="24"/>
                <w:szCs w:val="24"/>
              </w:rPr>
              <w:t>Year 2</w:t>
            </w:r>
          </w:p>
        </w:tc>
        <w:tc>
          <w:tcPr>
            <w:tcW w:w="1842" w:type="dxa"/>
            <w:tcBorders>
              <w:top w:val="single" w:sz="4" w:space="0" w:color="00359E"/>
              <w:left w:val="single" w:sz="4" w:space="0" w:color="00359E"/>
              <w:bottom w:val="single" w:sz="4" w:space="0" w:color="00359E"/>
              <w:right w:val="single" w:sz="4" w:space="0" w:color="00359E"/>
            </w:tcBorders>
            <w:shd w:val="clear" w:color="auto" w:fill="002060"/>
            <w:vAlign w:val="center"/>
          </w:tcPr>
          <w:p w14:paraId="6F2B200B" w14:textId="5C0C2DC8" w:rsidR="00A11FD5" w:rsidRPr="00514D5A" w:rsidRDefault="00A11FD5" w:rsidP="00A11FD5">
            <w:pPr>
              <w:rPr>
                <w:rFonts w:cstheme="minorHAnsi"/>
                <w:b/>
                <w:bCs/>
                <w:color w:val="FFFFFF" w:themeColor="background1"/>
                <w:sz w:val="24"/>
                <w:szCs w:val="24"/>
              </w:rPr>
            </w:pPr>
            <w:r w:rsidRPr="00514D5A">
              <w:rPr>
                <w:rFonts w:cstheme="minorHAnsi"/>
                <w:b/>
                <w:bCs/>
                <w:color w:val="FFFFFF" w:themeColor="background1"/>
                <w:sz w:val="24"/>
                <w:szCs w:val="24"/>
              </w:rPr>
              <w:t>Year 3</w:t>
            </w:r>
          </w:p>
        </w:tc>
      </w:tr>
      <w:tr w:rsidR="00A11FD5" w:rsidRPr="00514D5A" w14:paraId="5118AC97" w14:textId="77777777" w:rsidTr="001B6C24">
        <w:trPr>
          <w:trHeight w:val="2560"/>
          <w:jc w:val="right"/>
        </w:trPr>
        <w:tc>
          <w:tcPr>
            <w:tcW w:w="1985" w:type="dxa"/>
            <w:tcBorders>
              <w:top w:val="single" w:sz="4" w:space="0" w:color="00359E"/>
              <w:left w:val="single" w:sz="4" w:space="0" w:color="00359E"/>
              <w:bottom w:val="single" w:sz="4" w:space="0" w:color="00359E"/>
              <w:right w:val="single" w:sz="4" w:space="0" w:color="00359E"/>
            </w:tcBorders>
            <w:shd w:val="clear" w:color="auto" w:fill="002060"/>
          </w:tcPr>
          <w:p w14:paraId="3DB46554" w14:textId="51F9E1A0" w:rsidR="00A11FD5" w:rsidRPr="00514D5A" w:rsidRDefault="00A11FD5" w:rsidP="00A11FD5">
            <w:pPr>
              <w:rPr>
                <w:rFonts w:cstheme="minorHAnsi"/>
                <w:color w:val="FFFFFF" w:themeColor="background1"/>
                <w:sz w:val="24"/>
                <w:szCs w:val="24"/>
              </w:rPr>
            </w:pPr>
            <w:r w:rsidRPr="00514D5A">
              <w:rPr>
                <w:rFonts w:cstheme="minorHAnsi"/>
                <w:color w:val="FFFFFF" w:themeColor="background1"/>
                <w:sz w:val="24"/>
                <w:szCs w:val="24"/>
              </w:rPr>
              <w:lastRenderedPageBreak/>
              <w:t>3a. General Accessibility in the Gallery</w:t>
            </w:r>
          </w:p>
        </w:tc>
        <w:tc>
          <w:tcPr>
            <w:tcW w:w="3539" w:type="dxa"/>
            <w:tcBorders>
              <w:top w:val="single" w:sz="4" w:space="0" w:color="00359E"/>
              <w:left w:val="single" w:sz="4" w:space="0" w:color="00359E"/>
            </w:tcBorders>
          </w:tcPr>
          <w:p w14:paraId="75E38578" w14:textId="5CA1A432" w:rsidR="00A11FD5" w:rsidRPr="00514D5A" w:rsidRDefault="00A11FD5" w:rsidP="00A11FD5">
            <w:pPr>
              <w:pStyle w:val="ListParagraph"/>
              <w:numPr>
                <w:ilvl w:val="0"/>
                <w:numId w:val="9"/>
              </w:numPr>
              <w:ind w:left="335" w:hanging="335"/>
              <w:rPr>
                <w:rFonts w:cstheme="minorHAnsi"/>
                <w:sz w:val="24"/>
                <w:szCs w:val="24"/>
              </w:rPr>
            </w:pPr>
            <w:r w:rsidRPr="00514D5A">
              <w:rPr>
                <w:rFonts w:cstheme="minorHAnsi"/>
                <w:sz w:val="24"/>
                <w:szCs w:val="24"/>
              </w:rPr>
              <w:t xml:space="preserve">Decide what general accessibility issues can be fixed. </w:t>
            </w:r>
          </w:p>
          <w:p w14:paraId="23664BEA" w14:textId="14E740A0" w:rsidR="00A11FD5" w:rsidRPr="00514D5A" w:rsidRDefault="00A11FD5" w:rsidP="00A11FD5">
            <w:pPr>
              <w:pStyle w:val="ListParagraph"/>
              <w:numPr>
                <w:ilvl w:val="0"/>
                <w:numId w:val="9"/>
              </w:numPr>
              <w:ind w:left="335" w:hanging="335"/>
              <w:rPr>
                <w:rFonts w:cstheme="minorHAnsi"/>
                <w:sz w:val="24"/>
                <w:szCs w:val="24"/>
              </w:rPr>
            </w:pPr>
            <w:r w:rsidRPr="00514D5A">
              <w:rPr>
                <w:rFonts w:cstheme="minorHAnsi"/>
                <w:sz w:val="24"/>
                <w:szCs w:val="24"/>
              </w:rPr>
              <w:t xml:space="preserve">Prioritise the general accessibility issues and apply for funding, if necessary. </w:t>
            </w:r>
          </w:p>
          <w:p w14:paraId="4CA01C42" w14:textId="46468E7D" w:rsidR="00A11FD5" w:rsidRPr="00514D5A" w:rsidRDefault="00A11FD5" w:rsidP="00A11FD5">
            <w:pPr>
              <w:pStyle w:val="ListParagraph"/>
              <w:numPr>
                <w:ilvl w:val="0"/>
                <w:numId w:val="9"/>
              </w:numPr>
              <w:ind w:left="335" w:hanging="335"/>
              <w:rPr>
                <w:rFonts w:cstheme="minorHAnsi"/>
                <w:sz w:val="24"/>
                <w:szCs w:val="24"/>
              </w:rPr>
            </w:pPr>
            <w:r w:rsidRPr="00514D5A">
              <w:rPr>
                <w:rFonts w:cstheme="minorHAnsi"/>
                <w:sz w:val="24"/>
                <w:szCs w:val="24"/>
              </w:rPr>
              <w:t>Issues that can be fixed, should be done so as soon as possible.</w:t>
            </w:r>
          </w:p>
        </w:tc>
        <w:tc>
          <w:tcPr>
            <w:tcW w:w="1701" w:type="dxa"/>
            <w:tcBorders>
              <w:top w:val="single" w:sz="4" w:space="0" w:color="00359E"/>
            </w:tcBorders>
          </w:tcPr>
          <w:p w14:paraId="3568FA87" w14:textId="124FD0D3" w:rsidR="00A11FD5" w:rsidRPr="00514D5A" w:rsidRDefault="00A11FD5" w:rsidP="00A11FD5">
            <w:pPr>
              <w:rPr>
                <w:rFonts w:cstheme="minorHAnsi"/>
                <w:sz w:val="24"/>
                <w:szCs w:val="24"/>
              </w:rPr>
            </w:pPr>
            <w:r w:rsidRPr="00514D5A">
              <w:rPr>
                <w:rFonts w:cstheme="minorHAnsi"/>
                <w:sz w:val="24"/>
                <w:szCs w:val="24"/>
              </w:rPr>
              <w:t>Progress as funds and planning allow.</w:t>
            </w:r>
          </w:p>
        </w:tc>
        <w:tc>
          <w:tcPr>
            <w:tcW w:w="1842" w:type="dxa"/>
            <w:tcBorders>
              <w:top w:val="single" w:sz="4" w:space="0" w:color="00359E"/>
            </w:tcBorders>
          </w:tcPr>
          <w:p w14:paraId="175FCBC3" w14:textId="6B8526A5" w:rsidR="00A11FD5" w:rsidRPr="00514D5A" w:rsidRDefault="00A11FD5" w:rsidP="00A11FD5">
            <w:pPr>
              <w:rPr>
                <w:rFonts w:cstheme="minorHAnsi"/>
                <w:sz w:val="24"/>
                <w:szCs w:val="24"/>
              </w:rPr>
            </w:pPr>
            <w:r w:rsidRPr="00514D5A">
              <w:rPr>
                <w:rFonts w:cstheme="minorHAnsi"/>
                <w:sz w:val="24"/>
                <w:szCs w:val="24"/>
              </w:rPr>
              <w:t>Progress as funds and planning allow.</w:t>
            </w:r>
          </w:p>
        </w:tc>
      </w:tr>
      <w:tr w:rsidR="00A11FD5" w:rsidRPr="00514D5A" w14:paraId="5FDD5C45" w14:textId="77777777" w:rsidTr="001B6C24">
        <w:trPr>
          <w:trHeight w:val="538"/>
          <w:jc w:val="right"/>
        </w:trPr>
        <w:tc>
          <w:tcPr>
            <w:tcW w:w="1985" w:type="dxa"/>
            <w:vMerge w:val="restart"/>
            <w:tcBorders>
              <w:top w:val="single" w:sz="4" w:space="0" w:color="00359E"/>
              <w:left w:val="single" w:sz="4" w:space="0" w:color="00359E"/>
              <w:bottom w:val="single" w:sz="4" w:space="0" w:color="00359E"/>
              <w:right w:val="single" w:sz="4" w:space="0" w:color="00359E"/>
            </w:tcBorders>
            <w:shd w:val="clear" w:color="auto" w:fill="002060"/>
          </w:tcPr>
          <w:p w14:paraId="3AA1F1E6" w14:textId="0C3FFC9C" w:rsidR="00A11FD5" w:rsidRPr="00514D5A" w:rsidRDefault="00A11FD5" w:rsidP="00A11FD5">
            <w:pPr>
              <w:rPr>
                <w:rFonts w:cstheme="minorHAnsi"/>
                <w:color w:val="FFFFFF" w:themeColor="background1"/>
                <w:sz w:val="24"/>
                <w:szCs w:val="24"/>
              </w:rPr>
            </w:pPr>
            <w:r w:rsidRPr="00514D5A">
              <w:rPr>
                <w:rFonts w:cstheme="minorHAnsi"/>
                <w:color w:val="FFFFFF" w:themeColor="background1"/>
                <w:sz w:val="24"/>
                <w:szCs w:val="24"/>
              </w:rPr>
              <w:t xml:space="preserve">3b. Panels and Labels </w:t>
            </w:r>
          </w:p>
        </w:tc>
        <w:tc>
          <w:tcPr>
            <w:tcW w:w="7082" w:type="dxa"/>
            <w:gridSpan w:val="3"/>
            <w:tcBorders>
              <w:left w:val="single" w:sz="4" w:space="0" w:color="00359E"/>
            </w:tcBorders>
          </w:tcPr>
          <w:p w14:paraId="5DB4102C" w14:textId="592E8759" w:rsidR="00A11FD5" w:rsidRPr="00514D5A" w:rsidRDefault="00A11FD5" w:rsidP="00A11FD5">
            <w:pPr>
              <w:rPr>
                <w:rFonts w:cstheme="minorHAnsi"/>
                <w:sz w:val="24"/>
                <w:szCs w:val="24"/>
              </w:rPr>
            </w:pPr>
            <w:r w:rsidRPr="00514D5A">
              <w:rPr>
                <w:rFonts w:cstheme="minorHAnsi"/>
                <w:sz w:val="24"/>
                <w:szCs w:val="24"/>
              </w:rPr>
              <w:t xml:space="preserve">As exhibitions are updated, all new signage will follow our Standard Operating Procedures. </w:t>
            </w:r>
          </w:p>
        </w:tc>
      </w:tr>
      <w:tr w:rsidR="00A11FD5" w:rsidRPr="00514D5A" w14:paraId="7B4CE3D5" w14:textId="77777777" w:rsidTr="001B6C24">
        <w:trPr>
          <w:trHeight w:val="538"/>
          <w:jc w:val="right"/>
        </w:trPr>
        <w:tc>
          <w:tcPr>
            <w:tcW w:w="1985" w:type="dxa"/>
            <w:vMerge/>
            <w:tcBorders>
              <w:top w:val="single" w:sz="4" w:space="0" w:color="00359E"/>
              <w:left w:val="single" w:sz="4" w:space="0" w:color="00359E"/>
              <w:bottom w:val="single" w:sz="4" w:space="0" w:color="00359E"/>
              <w:right w:val="single" w:sz="4" w:space="0" w:color="00359E"/>
            </w:tcBorders>
            <w:shd w:val="clear" w:color="auto" w:fill="002060"/>
          </w:tcPr>
          <w:p w14:paraId="4EC04554" w14:textId="77777777" w:rsidR="00A11FD5" w:rsidRPr="00514D5A" w:rsidRDefault="00A11FD5" w:rsidP="00A11FD5">
            <w:pPr>
              <w:rPr>
                <w:rFonts w:cstheme="minorHAnsi"/>
                <w:color w:val="FFFFFF" w:themeColor="background1"/>
                <w:sz w:val="24"/>
                <w:szCs w:val="24"/>
              </w:rPr>
            </w:pPr>
          </w:p>
        </w:tc>
        <w:tc>
          <w:tcPr>
            <w:tcW w:w="3539" w:type="dxa"/>
            <w:tcBorders>
              <w:left w:val="single" w:sz="4" w:space="0" w:color="00359E"/>
            </w:tcBorders>
          </w:tcPr>
          <w:p w14:paraId="0588311E" w14:textId="77777777" w:rsidR="00A11FD5" w:rsidRPr="00514D5A" w:rsidRDefault="00A11FD5" w:rsidP="00A11FD5">
            <w:pPr>
              <w:pStyle w:val="ListParagraph"/>
              <w:numPr>
                <w:ilvl w:val="0"/>
                <w:numId w:val="17"/>
              </w:numPr>
              <w:ind w:left="335" w:hanging="335"/>
              <w:rPr>
                <w:rFonts w:cstheme="minorHAnsi"/>
                <w:sz w:val="24"/>
                <w:szCs w:val="24"/>
              </w:rPr>
            </w:pPr>
            <w:r w:rsidRPr="00514D5A">
              <w:rPr>
                <w:rFonts w:cstheme="minorHAnsi"/>
                <w:sz w:val="24"/>
                <w:szCs w:val="24"/>
              </w:rPr>
              <w:t>Provide large print versions of all panels and labels.</w:t>
            </w:r>
          </w:p>
          <w:p w14:paraId="4467BA7C" w14:textId="2C992B09" w:rsidR="00A11FD5" w:rsidRPr="00514D5A" w:rsidRDefault="00A11FD5" w:rsidP="00A11FD5">
            <w:pPr>
              <w:pStyle w:val="ListParagraph"/>
              <w:numPr>
                <w:ilvl w:val="0"/>
                <w:numId w:val="17"/>
              </w:numPr>
              <w:ind w:left="335" w:hanging="335"/>
              <w:rPr>
                <w:rFonts w:cstheme="minorHAnsi"/>
                <w:sz w:val="24"/>
                <w:szCs w:val="24"/>
              </w:rPr>
            </w:pPr>
            <w:r w:rsidRPr="00514D5A">
              <w:rPr>
                <w:rFonts w:cstheme="minorHAnsi"/>
                <w:sz w:val="24"/>
                <w:szCs w:val="24"/>
              </w:rPr>
              <w:t xml:space="preserve">Provide large print versions of all information signage, such as health and safety information. </w:t>
            </w:r>
          </w:p>
        </w:tc>
        <w:tc>
          <w:tcPr>
            <w:tcW w:w="1701" w:type="dxa"/>
            <w:tcBorders>
              <w:left w:val="single" w:sz="4" w:space="0" w:color="2F5496" w:themeColor="accent1" w:themeShade="BF"/>
            </w:tcBorders>
          </w:tcPr>
          <w:p w14:paraId="5A6A03A8" w14:textId="77777777" w:rsidR="00A11FD5" w:rsidRPr="00514D5A" w:rsidRDefault="00A11FD5" w:rsidP="00A11FD5">
            <w:pPr>
              <w:rPr>
                <w:rFonts w:cstheme="minorHAnsi"/>
                <w:sz w:val="24"/>
                <w:szCs w:val="24"/>
              </w:rPr>
            </w:pPr>
          </w:p>
        </w:tc>
        <w:tc>
          <w:tcPr>
            <w:tcW w:w="1842" w:type="dxa"/>
            <w:tcBorders>
              <w:left w:val="single" w:sz="4" w:space="0" w:color="2F5496" w:themeColor="accent1" w:themeShade="BF"/>
            </w:tcBorders>
          </w:tcPr>
          <w:p w14:paraId="413076DD" w14:textId="05D7D735" w:rsidR="00A11FD5" w:rsidRPr="00514D5A" w:rsidRDefault="00A11FD5" w:rsidP="00A11FD5">
            <w:pPr>
              <w:rPr>
                <w:rFonts w:cstheme="minorHAnsi"/>
                <w:sz w:val="24"/>
                <w:szCs w:val="24"/>
              </w:rPr>
            </w:pPr>
          </w:p>
        </w:tc>
      </w:tr>
      <w:tr w:rsidR="00A11FD5" w:rsidRPr="00514D5A" w14:paraId="3EF51B52" w14:textId="77777777" w:rsidTr="001B6C24">
        <w:trPr>
          <w:trHeight w:val="538"/>
          <w:jc w:val="right"/>
        </w:trPr>
        <w:tc>
          <w:tcPr>
            <w:tcW w:w="1985" w:type="dxa"/>
            <w:vMerge w:val="restart"/>
            <w:tcBorders>
              <w:top w:val="single" w:sz="4" w:space="0" w:color="00359E"/>
              <w:left w:val="single" w:sz="4" w:space="0" w:color="00359E"/>
              <w:bottom w:val="single" w:sz="4" w:space="0" w:color="00359E"/>
              <w:right w:val="single" w:sz="4" w:space="0" w:color="00359E"/>
            </w:tcBorders>
            <w:shd w:val="clear" w:color="auto" w:fill="002060"/>
          </w:tcPr>
          <w:p w14:paraId="4A29BFAC" w14:textId="36DA9C48" w:rsidR="00A11FD5" w:rsidRPr="00514D5A" w:rsidRDefault="00A11FD5" w:rsidP="00A11FD5">
            <w:pPr>
              <w:rPr>
                <w:rFonts w:cstheme="minorHAnsi"/>
                <w:color w:val="FFFFFF" w:themeColor="background1"/>
                <w:sz w:val="24"/>
                <w:szCs w:val="24"/>
              </w:rPr>
            </w:pPr>
            <w:r w:rsidRPr="00514D5A">
              <w:rPr>
                <w:rFonts w:cstheme="minorHAnsi"/>
                <w:color w:val="FFFFFF" w:themeColor="background1"/>
                <w:sz w:val="24"/>
                <w:szCs w:val="24"/>
              </w:rPr>
              <w:t>3c. Sensory Stimuli</w:t>
            </w:r>
          </w:p>
        </w:tc>
        <w:tc>
          <w:tcPr>
            <w:tcW w:w="7082" w:type="dxa"/>
            <w:gridSpan w:val="3"/>
            <w:tcBorders>
              <w:left w:val="single" w:sz="4" w:space="0" w:color="00359E"/>
            </w:tcBorders>
          </w:tcPr>
          <w:p w14:paraId="791BEA36" w14:textId="5064EF14" w:rsidR="00A11FD5" w:rsidRPr="00514D5A" w:rsidRDefault="00A11FD5" w:rsidP="00A11FD5">
            <w:pPr>
              <w:rPr>
                <w:rFonts w:cstheme="minorHAnsi"/>
                <w:sz w:val="24"/>
                <w:szCs w:val="24"/>
              </w:rPr>
            </w:pPr>
            <w:r w:rsidRPr="00514D5A">
              <w:rPr>
                <w:rFonts w:cstheme="minorHAnsi"/>
                <w:sz w:val="24"/>
                <w:szCs w:val="24"/>
              </w:rPr>
              <w:t>As exhibitions are updated, all new exhibitions will follow our Standard Operating Procedures.</w:t>
            </w:r>
          </w:p>
        </w:tc>
      </w:tr>
      <w:tr w:rsidR="00A11FD5" w:rsidRPr="00514D5A" w14:paraId="155D7859" w14:textId="77777777" w:rsidTr="001B6C24">
        <w:trPr>
          <w:trHeight w:val="1054"/>
          <w:jc w:val="right"/>
        </w:trPr>
        <w:tc>
          <w:tcPr>
            <w:tcW w:w="1985" w:type="dxa"/>
            <w:vMerge/>
            <w:tcBorders>
              <w:top w:val="single" w:sz="4" w:space="0" w:color="00359E"/>
              <w:left w:val="single" w:sz="4" w:space="0" w:color="00359E"/>
              <w:bottom w:val="single" w:sz="4" w:space="0" w:color="00359E"/>
              <w:right w:val="single" w:sz="4" w:space="0" w:color="00359E"/>
            </w:tcBorders>
            <w:shd w:val="clear" w:color="auto" w:fill="002060"/>
          </w:tcPr>
          <w:p w14:paraId="26AE7FA4" w14:textId="77777777" w:rsidR="00A11FD5" w:rsidRPr="00514D5A" w:rsidRDefault="00A11FD5" w:rsidP="00A11FD5">
            <w:pPr>
              <w:rPr>
                <w:rFonts w:cstheme="minorHAnsi"/>
                <w:color w:val="FFFFFF" w:themeColor="background1"/>
                <w:sz w:val="24"/>
                <w:szCs w:val="24"/>
              </w:rPr>
            </w:pPr>
          </w:p>
        </w:tc>
        <w:tc>
          <w:tcPr>
            <w:tcW w:w="3539" w:type="dxa"/>
            <w:tcBorders>
              <w:left w:val="single" w:sz="4" w:space="0" w:color="00359E"/>
            </w:tcBorders>
          </w:tcPr>
          <w:p w14:paraId="0F637FA3" w14:textId="04FB4E2C" w:rsidR="00A11FD5" w:rsidRPr="00514D5A" w:rsidRDefault="00A11FD5" w:rsidP="00A11FD5">
            <w:pPr>
              <w:pStyle w:val="ListParagraph"/>
              <w:numPr>
                <w:ilvl w:val="0"/>
                <w:numId w:val="21"/>
              </w:numPr>
              <w:ind w:left="360"/>
              <w:rPr>
                <w:rFonts w:cstheme="minorHAnsi"/>
                <w:sz w:val="24"/>
                <w:szCs w:val="24"/>
              </w:rPr>
            </w:pPr>
            <w:r w:rsidRPr="00514D5A">
              <w:rPr>
                <w:rFonts w:cstheme="minorHAnsi"/>
                <w:sz w:val="24"/>
                <w:szCs w:val="24"/>
              </w:rPr>
              <w:t>Write social stories to forewarn people about sensory stimuli. This should be edited with each new exhibition.</w:t>
            </w:r>
          </w:p>
        </w:tc>
        <w:tc>
          <w:tcPr>
            <w:tcW w:w="1701" w:type="dxa"/>
          </w:tcPr>
          <w:p w14:paraId="77244782" w14:textId="77777777" w:rsidR="00A11FD5" w:rsidRPr="00514D5A" w:rsidRDefault="00A11FD5" w:rsidP="00A11FD5">
            <w:pPr>
              <w:rPr>
                <w:rFonts w:cstheme="minorHAnsi"/>
                <w:sz w:val="24"/>
                <w:szCs w:val="24"/>
              </w:rPr>
            </w:pPr>
          </w:p>
        </w:tc>
        <w:tc>
          <w:tcPr>
            <w:tcW w:w="1842" w:type="dxa"/>
          </w:tcPr>
          <w:p w14:paraId="45D84861" w14:textId="77777777" w:rsidR="00A11FD5" w:rsidRPr="00514D5A" w:rsidRDefault="00A11FD5" w:rsidP="00A11FD5">
            <w:pPr>
              <w:rPr>
                <w:rFonts w:cstheme="minorHAnsi"/>
                <w:sz w:val="24"/>
                <w:szCs w:val="24"/>
              </w:rPr>
            </w:pPr>
          </w:p>
        </w:tc>
      </w:tr>
      <w:tr w:rsidR="00A11FD5" w:rsidRPr="00514D5A" w14:paraId="27F3E0FA" w14:textId="77777777" w:rsidTr="001B6C24">
        <w:trPr>
          <w:trHeight w:val="2251"/>
          <w:jc w:val="right"/>
        </w:trPr>
        <w:tc>
          <w:tcPr>
            <w:tcW w:w="1985" w:type="dxa"/>
            <w:tcBorders>
              <w:top w:val="single" w:sz="4" w:space="0" w:color="00359E"/>
              <w:left w:val="single" w:sz="4" w:space="0" w:color="00359E"/>
              <w:bottom w:val="single" w:sz="4" w:space="0" w:color="00359E"/>
              <w:right w:val="single" w:sz="4" w:space="0" w:color="00359E"/>
            </w:tcBorders>
            <w:shd w:val="clear" w:color="auto" w:fill="002060"/>
          </w:tcPr>
          <w:p w14:paraId="77379D74" w14:textId="41AFACE6" w:rsidR="00A11FD5" w:rsidRPr="00514D5A" w:rsidRDefault="00A11FD5" w:rsidP="00A11FD5">
            <w:pPr>
              <w:rPr>
                <w:rFonts w:cstheme="minorHAnsi"/>
                <w:color w:val="FFFFFF" w:themeColor="background1"/>
                <w:sz w:val="24"/>
                <w:szCs w:val="24"/>
              </w:rPr>
            </w:pPr>
            <w:r w:rsidRPr="00514D5A">
              <w:rPr>
                <w:rFonts w:cstheme="minorHAnsi"/>
                <w:color w:val="FFFFFF" w:themeColor="background1"/>
                <w:sz w:val="24"/>
                <w:szCs w:val="24"/>
              </w:rPr>
              <w:t>4. General Accessibility in Staff Areas</w:t>
            </w:r>
          </w:p>
        </w:tc>
        <w:tc>
          <w:tcPr>
            <w:tcW w:w="3539" w:type="dxa"/>
            <w:tcBorders>
              <w:left w:val="single" w:sz="4" w:space="0" w:color="00359E"/>
            </w:tcBorders>
          </w:tcPr>
          <w:p w14:paraId="34C1B402" w14:textId="77777777" w:rsidR="00A11FD5" w:rsidRPr="00514D5A" w:rsidRDefault="00A11FD5" w:rsidP="00A11FD5">
            <w:pPr>
              <w:pStyle w:val="ListParagraph"/>
              <w:numPr>
                <w:ilvl w:val="0"/>
                <w:numId w:val="9"/>
              </w:numPr>
              <w:ind w:left="335" w:hanging="335"/>
              <w:rPr>
                <w:rFonts w:cstheme="minorHAnsi"/>
                <w:sz w:val="24"/>
                <w:szCs w:val="24"/>
              </w:rPr>
            </w:pPr>
            <w:r w:rsidRPr="00514D5A">
              <w:rPr>
                <w:rFonts w:cstheme="minorHAnsi"/>
                <w:sz w:val="24"/>
                <w:szCs w:val="24"/>
              </w:rPr>
              <w:t xml:space="preserve">Decide what general accessibility issues can be fixed. </w:t>
            </w:r>
          </w:p>
          <w:p w14:paraId="06237178" w14:textId="77777777" w:rsidR="00A11FD5" w:rsidRPr="00514D5A" w:rsidRDefault="00A11FD5" w:rsidP="00A11FD5">
            <w:pPr>
              <w:pStyle w:val="ListParagraph"/>
              <w:numPr>
                <w:ilvl w:val="0"/>
                <w:numId w:val="9"/>
              </w:numPr>
              <w:ind w:left="335" w:hanging="335"/>
              <w:rPr>
                <w:rFonts w:cstheme="minorHAnsi"/>
                <w:sz w:val="24"/>
                <w:szCs w:val="24"/>
              </w:rPr>
            </w:pPr>
            <w:r w:rsidRPr="00514D5A">
              <w:rPr>
                <w:rFonts w:cstheme="minorHAnsi"/>
                <w:sz w:val="24"/>
                <w:szCs w:val="24"/>
              </w:rPr>
              <w:t xml:space="preserve">Prioritise the general accessibility issues and apply for funding, if necessary. </w:t>
            </w:r>
          </w:p>
          <w:p w14:paraId="2BA054B7" w14:textId="18C4B9AD" w:rsidR="00A11FD5" w:rsidRPr="00514D5A" w:rsidRDefault="00A11FD5" w:rsidP="00A11FD5">
            <w:pPr>
              <w:pStyle w:val="ListParagraph"/>
              <w:numPr>
                <w:ilvl w:val="0"/>
                <w:numId w:val="15"/>
              </w:numPr>
              <w:ind w:left="335" w:hanging="335"/>
              <w:rPr>
                <w:rFonts w:cstheme="minorHAnsi"/>
                <w:sz w:val="24"/>
                <w:szCs w:val="24"/>
              </w:rPr>
            </w:pPr>
            <w:r w:rsidRPr="00514D5A">
              <w:rPr>
                <w:rFonts w:cstheme="minorHAnsi"/>
                <w:sz w:val="24"/>
                <w:szCs w:val="24"/>
              </w:rPr>
              <w:t>Issues that can be fixed, should be done so as soon as possible.</w:t>
            </w:r>
          </w:p>
        </w:tc>
        <w:tc>
          <w:tcPr>
            <w:tcW w:w="1701" w:type="dxa"/>
          </w:tcPr>
          <w:p w14:paraId="40DEC7C6" w14:textId="4E13D459" w:rsidR="00A11FD5" w:rsidRPr="00514D5A" w:rsidRDefault="00A11FD5" w:rsidP="00A11FD5">
            <w:pPr>
              <w:rPr>
                <w:rFonts w:cstheme="minorHAnsi"/>
                <w:sz w:val="24"/>
                <w:szCs w:val="24"/>
              </w:rPr>
            </w:pPr>
            <w:r w:rsidRPr="00514D5A">
              <w:rPr>
                <w:rFonts w:cstheme="minorHAnsi"/>
                <w:sz w:val="24"/>
                <w:szCs w:val="24"/>
              </w:rPr>
              <w:t>Progress as funds and planning allow.</w:t>
            </w:r>
          </w:p>
        </w:tc>
        <w:tc>
          <w:tcPr>
            <w:tcW w:w="1842" w:type="dxa"/>
          </w:tcPr>
          <w:p w14:paraId="3DA2C1DC" w14:textId="69C64481" w:rsidR="00A11FD5" w:rsidRPr="00514D5A" w:rsidRDefault="00A11FD5" w:rsidP="00A11FD5">
            <w:pPr>
              <w:rPr>
                <w:rFonts w:cstheme="minorHAnsi"/>
                <w:sz w:val="24"/>
                <w:szCs w:val="24"/>
              </w:rPr>
            </w:pPr>
            <w:r w:rsidRPr="00514D5A">
              <w:rPr>
                <w:rFonts w:cstheme="minorHAnsi"/>
                <w:sz w:val="24"/>
                <w:szCs w:val="24"/>
              </w:rPr>
              <w:t>Progress as funds and planning allow.</w:t>
            </w:r>
          </w:p>
        </w:tc>
      </w:tr>
      <w:tr w:rsidR="00A11FD5" w:rsidRPr="00514D5A" w14:paraId="329525EB" w14:textId="77777777" w:rsidTr="001B6C24">
        <w:trPr>
          <w:trHeight w:val="2251"/>
          <w:jc w:val="right"/>
        </w:trPr>
        <w:tc>
          <w:tcPr>
            <w:tcW w:w="1985" w:type="dxa"/>
            <w:tcBorders>
              <w:top w:val="single" w:sz="4" w:space="0" w:color="00359E"/>
              <w:left w:val="single" w:sz="4" w:space="0" w:color="00359E"/>
              <w:bottom w:val="single" w:sz="4" w:space="0" w:color="00359E"/>
              <w:right w:val="single" w:sz="4" w:space="0" w:color="00359E"/>
            </w:tcBorders>
            <w:shd w:val="clear" w:color="auto" w:fill="002060"/>
          </w:tcPr>
          <w:p w14:paraId="5C25DC73" w14:textId="1DE08E52" w:rsidR="00A11FD5" w:rsidRPr="00514D5A" w:rsidRDefault="00A11FD5" w:rsidP="00A11FD5">
            <w:pPr>
              <w:rPr>
                <w:rFonts w:cstheme="minorHAnsi"/>
                <w:color w:val="FFFFFF" w:themeColor="background1"/>
                <w:sz w:val="24"/>
                <w:szCs w:val="24"/>
              </w:rPr>
            </w:pPr>
            <w:r w:rsidRPr="00514D5A">
              <w:rPr>
                <w:rFonts w:cstheme="minorHAnsi"/>
                <w:color w:val="FFFFFF" w:themeColor="background1"/>
                <w:sz w:val="24"/>
                <w:szCs w:val="24"/>
              </w:rPr>
              <w:t>5. Accessible amenities</w:t>
            </w:r>
          </w:p>
        </w:tc>
        <w:tc>
          <w:tcPr>
            <w:tcW w:w="3539" w:type="dxa"/>
            <w:tcBorders>
              <w:left w:val="single" w:sz="4" w:space="0" w:color="00359E"/>
              <w:bottom w:val="single" w:sz="4" w:space="0" w:color="00359E"/>
            </w:tcBorders>
          </w:tcPr>
          <w:p w14:paraId="7BA8F204" w14:textId="77777777" w:rsidR="00A11FD5" w:rsidRPr="00514D5A" w:rsidRDefault="00A11FD5" w:rsidP="00A11FD5">
            <w:pPr>
              <w:pStyle w:val="ListParagraph"/>
              <w:numPr>
                <w:ilvl w:val="0"/>
                <w:numId w:val="15"/>
              </w:numPr>
              <w:ind w:left="335" w:hanging="335"/>
              <w:rPr>
                <w:rFonts w:cstheme="minorHAnsi"/>
                <w:sz w:val="24"/>
                <w:szCs w:val="24"/>
              </w:rPr>
            </w:pPr>
            <w:r w:rsidRPr="00514D5A">
              <w:rPr>
                <w:rFonts w:cstheme="minorHAnsi"/>
                <w:sz w:val="24"/>
                <w:szCs w:val="24"/>
              </w:rPr>
              <w:t xml:space="preserve">Add information about public transport and local taxi companies to the foyer. </w:t>
            </w:r>
          </w:p>
          <w:p w14:paraId="729DCCE5" w14:textId="77777777" w:rsidR="00A11FD5" w:rsidRPr="00514D5A" w:rsidRDefault="00A11FD5" w:rsidP="00A11FD5">
            <w:pPr>
              <w:pStyle w:val="ListParagraph"/>
              <w:numPr>
                <w:ilvl w:val="0"/>
                <w:numId w:val="15"/>
              </w:numPr>
              <w:ind w:left="335" w:hanging="335"/>
              <w:rPr>
                <w:rFonts w:cstheme="minorHAnsi"/>
                <w:sz w:val="24"/>
                <w:szCs w:val="24"/>
              </w:rPr>
            </w:pPr>
            <w:r w:rsidRPr="00514D5A">
              <w:rPr>
                <w:rFonts w:cstheme="minorHAnsi"/>
                <w:sz w:val="24"/>
                <w:szCs w:val="24"/>
              </w:rPr>
              <w:t xml:space="preserve">Create an area where motorised wheelchairs can be recharged. </w:t>
            </w:r>
          </w:p>
          <w:p w14:paraId="33870271" w14:textId="7F1E398F" w:rsidR="00A11FD5" w:rsidRPr="00514D5A" w:rsidRDefault="00A11FD5" w:rsidP="00A11FD5">
            <w:pPr>
              <w:pStyle w:val="ListParagraph"/>
              <w:numPr>
                <w:ilvl w:val="0"/>
                <w:numId w:val="15"/>
              </w:numPr>
              <w:ind w:left="335" w:hanging="335"/>
              <w:rPr>
                <w:rFonts w:cstheme="minorHAnsi"/>
                <w:sz w:val="24"/>
                <w:szCs w:val="24"/>
              </w:rPr>
            </w:pPr>
            <w:r w:rsidRPr="00514D5A">
              <w:rPr>
                <w:rFonts w:cstheme="minorHAnsi"/>
                <w:sz w:val="24"/>
                <w:szCs w:val="24"/>
              </w:rPr>
              <w:t xml:space="preserve">Train staff to recognise the needs of a service dog and how to provide them. </w:t>
            </w:r>
          </w:p>
        </w:tc>
        <w:tc>
          <w:tcPr>
            <w:tcW w:w="1701" w:type="dxa"/>
            <w:tcBorders>
              <w:bottom w:val="single" w:sz="4" w:space="0" w:color="00359E"/>
            </w:tcBorders>
          </w:tcPr>
          <w:p w14:paraId="5D757AA5" w14:textId="77777777" w:rsidR="00A11FD5" w:rsidRPr="00514D5A" w:rsidRDefault="00A11FD5" w:rsidP="00A11FD5">
            <w:pPr>
              <w:rPr>
                <w:rFonts w:cstheme="minorHAnsi"/>
                <w:sz w:val="24"/>
                <w:szCs w:val="24"/>
              </w:rPr>
            </w:pPr>
          </w:p>
        </w:tc>
        <w:tc>
          <w:tcPr>
            <w:tcW w:w="1842" w:type="dxa"/>
            <w:tcBorders>
              <w:bottom w:val="single" w:sz="4" w:space="0" w:color="00359E"/>
            </w:tcBorders>
          </w:tcPr>
          <w:p w14:paraId="7EEF04B9" w14:textId="77777777" w:rsidR="00A11FD5" w:rsidRPr="00514D5A" w:rsidRDefault="00A11FD5" w:rsidP="00A11FD5">
            <w:pPr>
              <w:rPr>
                <w:rFonts w:cstheme="minorHAnsi"/>
                <w:sz w:val="24"/>
                <w:szCs w:val="24"/>
              </w:rPr>
            </w:pPr>
          </w:p>
        </w:tc>
      </w:tr>
      <w:tr w:rsidR="001B6C24" w:rsidRPr="00514D5A" w14:paraId="57E2C5CA" w14:textId="77777777" w:rsidTr="001B6C24">
        <w:trPr>
          <w:trHeight w:val="425"/>
          <w:jc w:val="right"/>
        </w:trPr>
        <w:tc>
          <w:tcPr>
            <w:tcW w:w="1985" w:type="dxa"/>
            <w:tcBorders>
              <w:top w:val="single" w:sz="4" w:space="0" w:color="00359E"/>
              <w:left w:val="single" w:sz="4" w:space="0" w:color="00359E"/>
              <w:bottom w:val="single" w:sz="4" w:space="0" w:color="00359E"/>
              <w:right w:val="single" w:sz="4" w:space="0" w:color="00359E"/>
            </w:tcBorders>
            <w:shd w:val="clear" w:color="auto" w:fill="002060"/>
            <w:vAlign w:val="center"/>
          </w:tcPr>
          <w:p w14:paraId="2AF274C2" w14:textId="0C4F10D6" w:rsidR="001B6C24" w:rsidRPr="00514D5A" w:rsidRDefault="001B6C24" w:rsidP="001B6C24">
            <w:pPr>
              <w:rPr>
                <w:rFonts w:cstheme="minorHAnsi"/>
                <w:color w:val="FFFFFF" w:themeColor="background1"/>
                <w:sz w:val="24"/>
                <w:szCs w:val="24"/>
              </w:rPr>
            </w:pPr>
            <w:r w:rsidRPr="00514D5A">
              <w:rPr>
                <w:rFonts w:cstheme="minorHAnsi"/>
                <w:b/>
                <w:bCs/>
                <w:color w:val="FFFFFF" w:themeColor="background1"/>
                <w:sz w:val="24"/>
                <w:szCs w:val="24"/>
              </w:rPr>
              <w:t>Policy Activity</w:t>
            </w:r>
          </w:p>
        </w:tc>
        <w:tc>
          <w:tcPr>
            <w:tcW w:w="3539" w:type="dxa"/>
            <w:tcBorders>
              <w:top w:val="single" w:sz="4" w:space="0" w:color="00359E"/>
              <w:left w:val="single" w:sz="4" w:space="0" w:color="00359E"/>
              <w:bottom w:val="single" w:sz="4" w:space="0" w:color="00359E"/>
              <w:right w:val="single" w:sz="4" w:space="0" w:color="00359E"/>
            </w:tcBorders>
            <w:shd w:val="clear" w:color="auto" w:fill="002060"/>
            <w:vAlign w:val="center"/>
          </w:tcPr>
          <w:p w14:paraId="3276108B" w14:textId="5045A999" w:rsidR="001B6C24" w:rsidRPr="00514D5A" w:rsidRDefault="001B6C24" w:rsidP="001B6C24">
            <w:pPr>
              <w:rPr>
                <w:rFonts w:cstheme="minorHAnsi"/>
                <w:sz w:val="24"/>
                <w:szCs w:val="24"/>
              </w:rPr>
            </w:pPr>
            <w:r w:rsidRPr="00514D5A">
              <w:rPr>
                <w:rFonts w:cstheme="minorHAnsi"/>
                <w:b/>
                <w:bCs/>
                <w:color w:val="FFFFFF" w:themeColor="background1"/>
                <w:sz w:val="24"/>
                <w:szCs w:val="24"/>
              </w:rPr>
              <w:t>Year 1</w:t>
            </w:r>
          </w:p>
        </w:tc>
        <w:tc>
          <w:tcPr>
            <w:tcW w:w="1701" w:type="dxa"/>
            <w:tcBorders>
              <w:top w:val="single" w:sz="4" w:space="0" w:color="00359E"/>
              <w:left w:val="single" w:sz="4" w:space="0" w:color="00359E"/>
              <w:bottom w:val="single" w:sz="4" w:space="0" w:color="00359E"/>
              <w:right w:val="single" w:sz="4" w:space="0" w:color="00359E"/>
            </w:tcBorders>
            <w:shd w:val="clear" w:color="auto" w:fill="002060"/>
            <w:vAlign w:val="center"/>
          </w:tcPr>
          <w:p w14:paraId="766564B5" w14:textId="1B8833D7" w:rsidR="001B6C24" w:rsidRPr="00514D5A" w:rsidRDefault="001B6C24" w:rsidP="001B6C24">
            <w:pPr>
              <w:rPr>
                <w:rFonts w:cstheme="minorHAnsi"/>
                <w:sz w:val="24"/>
                <w:szCs w:val="24"/>
              </w:rPr>
            </w:pPr>
            <w:r w:rsidRPr="00514D5A">
              <w:rPr>
                <w:rFonts w:cstheme="minorHAnsi"/>
                <w:b/>
                <w:bCs/>
                <w:color w:val="FFFFFF" w:themeColor="background1"/>
                <w:sz w:val="24"/>
                <w:szCs w:val="24"/>
              </w:rPr>
              <w:t>Year 2</w:t>
            </w:r>
          </w:p>
        </w:tc>
        <w:tc>
          <w:tcPr>
            <w:tcW w:w="1842" w:type="dxa"/>
            <w:tcBorders>
              <w:top w:val="single" w:sz="4" w:space="0" w:color="00359E"/>
              <w:left w:val="single" w:sz="4" w:space="0" w:color="00359E"/>
              <w:bottom w:val="single" w:sz="4" w:space="0" w:color="00359E"/>
              <w:right w:val="single" w:sz="4" w:space="0" w:color="00359E"/>
            </w:tcBorders>
            <w:shd w:val="clear" w:color="auto" w:fill="002060"/>
            <w:vAlign w:val="center"/>
          </w:tcPr>
          <w:p w14:paraId="2AD56725" w14:textId="5339901A" w:rsidR="001B6C24" w:rsidRPr="00514D5A" w:rsidRDefault="001B6C24" w:rsidP="001B6C24">
            <w:pPr>
              <w:rPr>
                <w:rFonts w:cstheme="minorHAnsi"/>
                <w:sz w:val="24"/>
                <w:szCs w:val="24"/>
              </w:rPr>
            </w:pPr>
            <w:r w:rsidRPr="00514D5A">
              <w:rPr>
                <w:rFonts w:cstheme="minorHAnsi"/>
                <w:b/>
                <w:bCs/>
                <w:color w:val="FFFFFF" w:themeColor="background1"/>
                <w:sz w:val="24"/>
                <w:szCs w:val="24"/>
              </w:rPr>
              <w:t>Year 3</w:t>
            </w:r>
          </w:p>
        </w:tc>
      </w:tr>
      <w:tr w:rsidR="00A11FD5" w:rsidRPr="00514D5A" w14:paraId="03DCCFF1" w14:textId="77777777" w:rsidTr="001B6C24">
        <w:trPr>
          <w:trHeight w:val="1397"/>
          <w:jc w:val="right"/>
        </w:trPr>
        <w:tc>
          <w:tcPr>
            <w:tcW w:w="1985" w:type="dxa"/>
            <w:tcBorders>
              <w:top w:val="single" w:sz="4" w:space="0" w:color="00359E"/>
              <w:left w:val="single" w:sz="4" w:space="0" w:color="00359E"/>
              <w:bottom w:val="single" w:sz="4" w:space="0" w:color="00359E"/>
              <w:right w:val="single" w:sz="4" w:space="0" w:color="00359E"/>
            </w:tcBorders>
            <w:shd w:val="clear" w:color="auto" w:fill="002060"/>
          </w:tcPr>
          <w:p w14:paraId="1EDC73D4" w14:textId="21CFE501" w:rsidR="00A11FD5" w:rsidRPr="00514D5A" w:rsidRDefault="00A11FD5" w:rsidP="00A11FD5">
            <w:pPr>
              <w:rPr>
                <w:rFonts w:cstheme="minorHAnsi"/>
                <w:color w:val="FFFFFF" w:themeColor="background1"/>
                <w:sz w:val="24"/>
                <w:szCs w:val="24"/>
              </w:rPr>
            </w:pPr>
            <w:r w:rsidRPr="00514D5A">
              <w:rPr>
                <w:rFonts w:cstheme="minorHAnsi"/>
                <w:color w:val="FFFFFF" w:themeColor="background1"/>
                <w:sz w:val="24"/>
                <w:szCs w:val="24"/>
              </w:rPr>
              <w:lastRenderedPageBreak/>
              <w:t>6. Furniture</w:t>
            </w:r>
          </w:p>
        </w:tc>
        <w:tc>
          <w:tcPr>
            <w:tcW w:w="3539" w:type="dxa"/>
            <w:tcBorders>
              <w:top w:val="single" w:sz="4" w:space="0" w:color="00359E"/>
              <w:left w:val="single" w:sz="4" w:space="0" w:color="00359E"/>
            </w:tcBorders>
          </w:tcPr>
          <w:p w14:paraId="4275BD3F" w14:textId="03CB8A7A" w:rsidR="00A11FD5" w:rsidRPr="00514D5A" w:rsidRDefault="00A11FD5" w:rsidP="00A11FD5">
            <w:pPr>
              <w:pStyle w:val="ListParagraph"/>
              <w:numPr>
                <w:ilvl w:val="0"/>
                <w:numId w:val="13"/>
              </w:numPr>
              <w:ind w:left="335" w:hanging="335"/>
              <w:rPr>
                <w:rFonts w:cstheme="minorHAnsi"/>
                <w:sz w:val="24"/>
                <w:szCs w:val="24"/>
              </w:rPr>
            </w:pPr>
            <w:r w:rsidRPr="00514D5A">
              <w:rPr>
                <w:rFonts w:cstheme="minorHAnsi"/>
                <w:sz w:val="24"/>
                <w:szCs w:val="24"/>
              </w:rPr>
              <w:t>Assess which furniture goes against our Standard Operating Procedures.</w:t>
            </w:r>
          </w:p>
          <w:p w14:paraId="0A543C20" w14:textId="14907F2A" w:rsidR="00A11FD5" w:rsidRPr="00514D5A" w:rsidRDefault="00A11FD5" w:rsidP="00A11FD5">
            <w:pPr>
              <w:pStyle w:val="ListParagraph"/>
              <w:numPr>
                <w:ilvl w:val="0"/>
                <w:numId w:val="13"/>
              </w:numPr>
              <w:ind w:left="335" w:hanging="335"/>
              <w:rPr>
                <w:rFonts w:cstheme="minorHAnsi"/>
                <w:sz w:val="24"/>
                <w:szCs w:val="24"/>
              </w:rPr>
            </w:pPr>
            <w:r w:rsidRPr="00514D5A">
              <w:rPr>
                <w:rFonts w:cstheme="minorHAnsi"/>
                <w:sz w:val="24"/>
                <w:szCs w:val="24"/>
              </w:rPr>
              <w:t xml:space="preserve">Replace or alter the inaccessible furniture in the galleries. </w:t>
            </w:r>
          </w:p>
        </w:tc>
        <w:tc>
          <w:tcPr>
            <w:tcW w:w="1701" w:type="dxa"/>
            <w:tcBorders>
              <w:top w:val="single" w:sz="4" w:space="0" w:color="00359E"/>
            </w:tcBorders>
          </w:tcPr>
          <w:p w14:paraId="5C933C43" w14:textId="2755DE66" w:rsidR="00A11FD5" w:rsidRPr="00514D5A" w:rsidRDefault="00A11FD5" w:rsidP="00A11FD5">
            <w:pPr>
              <w:rPr>
                <w:rFonts w:cstheme="minorHAnsi"/>
                <w:sz w:val="24"/>
                <w:szCs w:val="24"/>
              </w:rPr>
            </w:pPr>
            <w:r w:rsidRPr="00514D5A">
              <w:rPr>
                <w:rFonts w:cstheme="minorHAnsi"/>
                <w:sz w:val="24"/>
                <w:szCs w:val="24"/>
              </w:rPr>
              <w:t>Replace or alter the inaccessible furniture in the staff areas.</w:t>
            </w:r>
          </w:p>
        </w:tc>
        <w:tc>
          <w:tcPr>
            <w:tcW w:w="1842" w:type="dxa"/>
            <w:tcBorders>
              <w:top w:val="single" w:sz="4" w:space="0" w:color="00359E"/>
            </w:tcBorders>
          </w:tcPr>
          <w:p w14:paraId="177BCFBA" w14:textId="53B18179" w:rsidR="00A11FD5" w:rsidRPr="00514D5A" w:rsidRDefault="00A11FD5" w:rsidP="00A11FD5">
            <w:pPr>
              <w:rPr>
                <w:rFonts w:cstheme="minorHAnsi"/>
                <w:sz w:val="24"/>
                <w:szCs w:val="24"/>
              </w:rPr>
            </w:pPr>
            <w:r w:rsidRPr="00514D5A">
              <w:rPr>
                <w:rFonts w:cstheme="minorHAnsi"/>
                <w:sz w:val="24"/>
                <w:szCs w:val="24"/>
              </w:rPr>
              <w:t>Progress as funds allow.</w:t>
            </w:r>
          </w:p>
        </w:tc>
      </w:tr>
      <w:tr w:rsidR="00A11FD5" w:rsidRPr="00514D5A" w14:paraId="0F129DC4" w14:textId="77777777" w:rsidTr="001B6C24">
        <w:trPr>
          <w:trHeight w:val="2852"/>
          <w:jc w:val="right"/>
        </w:trPr>
        <w:tc>
          <w:tcPr>
            <w:tcW w:w="1985" w:type="dxa"/>
            <w:tcBorders>
              <w:top w:val="single" w:sz="4" w:space="0" w:color="00359E"/>
              <w:left w:val="single" w:sz="4" w:space="0" w:color="00359E"/>
              <w:bottom w:val="single" w:sz="4" w:space="0" w:color="00359E"/>
              <w:right w:val="single" w:sz="4" w:space="0" w:color="00359E"/>
            </w:tcBorders>
            <w:shd w:val="clear" w:color="auto" w:fill="002060"/>
          </w:tcPr>
          <w:p w14:paraId="4921FAF6" w14:textId="3D08ACDE" w:rsidR="00A11FD5" w:rsidRPr="00514D5A" w:rsidRDefault="00A11FD5" w:rsidP="00A11FD5">
            <w:pPr>
              <w:rPr>
                <w:rFonts w:cstheme="minorHAnsi"/>
                <w:color w:val="FFFFFF" w:themeColor="background1"/>
                <w:sz w:val="24"/>
                <w:szCs w:val="24"/>
              </w:rPr>
            </w:pPr>
            <w:r w:rsidRPr="00514D5A">
              <w:rPr>
                <w:rFonts w:cstheme="minorHAnsi"/>
                <w:color w:val="FFFFFF" w:themeColor="background1"/>
                <w:sz w:val="24"/>
                <w:szCs w:val="24"/>
              </w:rPr>
              <w:t>7. Website</w:t>
            </w:r>
          </w:p>
        </w:tc>
        <w:tc>
          <w:tcPr>
            <w:tcW w:w="3539" w:type="dxa"/>
            <w:tcBorders>
              <w:left w:val="single" w:sz="4" w:space="0" w:color="00359E"/>
            </w:tcBorders>
          </w:tcPr>
          <w:p w14:paraId="665488B3" w14:textId="77777777" w:rsidR="00A11FD5" w:rsidRPr="00514D5A" w:rsidRDefault="00A11FD5" w:rsidP="00A11FD5">
            <w:pPr>
              <w:pStyle w:val="ListParagraph"/>
              <w:numPr>
                <w:ilvl w:val="0"/>
                <w:numId w:val="16"/>
              </w:numPr>
              <w:ind w:left="360"/>
              <w:rPr>
                <w:rFonts w:cstheme="minorHAnsi"/>
                <w:sz w:val="24"/>
                <w:szCs w:val="24"/>
              </w:rPr>
            </w:pPr>
            <w:r w:rsidRPr="00514D5A">
              <w:rPr>
                <w:rFonts w:cstheme="minorHAnsi"/>
                <w:sz w:val="24"/>
                <w:szCs w:val="24"/>
              </w:rPr>
              <w:t>Add an accessibility section to the Police Museum’s website.</w:t>
            </w:r>
          </w:p>
          <w:p w14:paraId="34F0AC67" w14:textId="77777777" w:rsidR="00A11FD5" w:rsidRPr="00514D5A" w:rsidRDefault="00A11FD5" w:rsidP="00A11FD5">
            <w:pPr>
              <w:pStyle w:val="ListParagraph"/>
              <w:numPr>
                <w:ilvl w:val="0"/>
                <w:numId w:val="16"/>
              </w:numPr>
              <w:ind w:left="360"/>
              <w:rPr>
                <w:rFonts w:cstheme="minorHAnsi"/>
                <w:sz w:val="24"/>
                <w:szCs w:val="24"/>
              </w:rPr>
            </w:pPr>
            <w:r w:rsidRPr="00514D5A">
              <w:rPr>
                <w:rFonts w:cstheme="minorHAnsi"/>
                <w:sz w:val="24"/>
                <w:szCs w:val="24"/>
              </w:rPr>
              <w:t>Add alt text to all images on the Police Museum’s website. Image descriptions should be removed or fixed and routinely checked.</w:t>
            </w:r>
          </w:p>
          <w:p w14:paraId="37A581DD" w14:textId="5C865E99" w:rsidR="00A11FD5" w:rsidRPr="00514D5A" w:rsidRDefault="00A11FD5" w:rsidP="00A11FD5">
            <w:pPr>
              <w:pStyle w:val="ListParagraph"/>
              <w:numPr>
                <w:ilvl w:val="0"/>
                <w:numId w:val="16"/>
              </w:numPr>
              <w:ind w:left="360"/>
              <w:rPr>
                <w:rFonts w:cstheme="minorHAnsi"/>
                <w:sz w:val="24"/>
                <w:szCs w:val="24"/>
              </w:rPr>
            </w:pPr>
            <w:r w:rsidRPr="00514D5A">
              <w:rPr>
                <w:rFonts w:cstheme="minorHAnsi"/>
                <w:sz w:val="24"/>
                <w:szCs w:val="24"/>
              </w:rPr>
              <w:t xml:space="preserve">Check that all areas of the website follow our Standard Operating Procedures.  </w:t>
            </w:r>
          </w:p>
        </w:tc>
        <w:tc>
          <w:tcPr>
            <w:tcW w:w="1701" w:type="dxa"/>
          </w:tcPr>
          <w:p w14:paraId="6373D499" w14:textId="48DAA75E" w:rsidR="00A11FD5" w:rsidRPr="00514D5A" w:rsidRDefault="00A11FD5" w:rsidP="00A11FD5">
            <w:pPr>
              <w:rPr>
                <w:rFonts w:cstheme="minorHAnsi"/>
                <w:sz w:val="24"/>
                <w:szCs w:val="24"/>
              </w:rPr>
            </w:pPr>
          </w:p>
        </w:tc>
        <w:tc>
          <w:tcPr>
            <w:tcW w:w="1842" w:type="dxa"/>
          </w:tcPr>
          <w:p w14:paraId="6DAFDF33" w14:textId="77777777" w:rsidR="00A11FD5" w:rsidRPr="00514D5A" w:rsidRDefault="00A11FD5" w:rsidP="00A11FD5">
            <w:pPr>
              <w:rPr>
                <w:rFonts w:cstheme="minorHAnsi"/>
                <w:sz w:val="24"/>
                <w:szCs w:val="24"/>
              </w:rPr>
            </w:pPr>
          </w:p>
        </w:tc>
      </w:tr>
      <w:tr w:rsidR="00A11FD5" w:rsidRPr="00514D5A" w14:paraId="3F275DBD" w14:textId="77777777" w:rsidTr="001B6C24">
        <w:trPr>
          <w:trHeight w:val="254"/>
          <w:jc w:val="right"/>
        </w:trPr>
        <w:tc>
          <w:tcPr>
            <w:tcW w:w="1985" w:type="dxa"/>
            <w:tcBorders>
              <w:top w:val="single" w:sz="4" w:space="0" w:color="00359E"/>
              <w:left w:val="single" w:sz="4" w:space="0" w:color="00359E"/>
              <w:bottom w:val="single" w:sz="4" w:space="0" w:color="00359E"/>
              <w:right w:val="single" w:sz="4" w:space="0" w:color="00359E"/>
            </w:tcBorders>
            <w:shd w:val="clear" w:color="auto" w:fill="002060"/>
          </w:tcPr>
          <w:p w14:paraId="043C9078" w14:textId="473358D6" w:rsidR="00A11FD5" w:rsidRPr="00514D5A" w:rsidRDefault="00A11FD5" w:rsidP="00A11FD5">
            <w:pPr>
              <w:rPr>
                <w:rFonts w:cstheme="minorHAnsi"/>
                <w:color w:val="FFFFFF" w:themeColor="background1"/>
                <w:sz w:val="24"/>
                <w:szCs w:val="24"/>
              </w:rPr>
            </w:pPr>
            <w:r w:rsidRPr="00514D5A">
              <w:rPr>
                <w:rFonts w:cstheme="minorHAnsi"/>
                <w:color w:val="FFFFFF" w:themeColor="background1"/>
                <w:sz w:val="24"/>
                <w:szCs w:val="24"/>
              </w:rPr>
              <w:t>8. Social media</w:t>
            </w:r>
          </w:p>
        </w:tc>
        <w:tc>
          <w:tcPr>
            <w:tcW w:w="3539" w:type="dxa"/>
            <w:tcBorders>
              <w:left w:val="single" w:sz="4" w:space="0" w:color="00359E"/>
            </w:tcBorders>
          </w:tcPr>
          <w:p w14:paraId="227F0777" w14:textId="043402F8" w:rsidR="00A11FD5" w:rsidRPr="00514D5A" w:rsidRDefault="00A11FD5" w:rsidP="00A11FD5">
            <w:pPr>
              <w:rPr>
                <w:rFonts w:cstheme="minorHAnsi"/>
                <w:sz w:val="24"/>
                <w:szCs w:val="24"/>
              </w:rPr>
            </w:pPr>
            <w:r w:rsidRPr="00514D5A">
              <w:rPr>
                <w:rFonts w:cstheme="minorHAnsi"/>
                <w:sz w:val="24"/>
                <w:szCs w:val="24"/>
              </w:rPr>
              <w:t xml:space="preserve">Begin adding image descriptions to all new social media posts. </w:t>
            </w:r>
          </w:p>
        </w:tc>
        <w:tc>
          <w:tcPr>
            <w:tcW w:w="1701" w:type="dxa"/>
          </w:tcPr>
          <w:p w14:paraId="7E4E18B9" w14:textId="5E89FE7C" w:rsidR="00A11FD5" w:rsidRPr="00514D5A" w:rsidRDefault="00A11FD5" w:rsidP="00A11FD5">
            <w:pPr>
              <w:rPr>
                <w:rFonts w:cstheme="minorHAnsi"/>
                <w:sz w:val="24"/>
                <w:szCs w:val="24"/>
              </w:rPr>
            </w:pPr>
            <w:r w:rsidRPr="00514D5A">
              <w:rPr>
                <w:rFonts w:cstheme="minorHAnsi"/>
                <w:sz w:val="24"/>
                <w:szCs w:val="24"/>
              </w:rPr>
              <w:t xml:space="preserve">Add image descriptions to previous social media posts. </w:t>
            </w:r>
          </w:p>
        </w:tc>
        <w:tc>
          <w:tcPr>
            <w:tcW w:w="1842" w:type="dxa"/>
          </w:tcPr>
          <w:p w14:paraId="15176FC4" w14:textId="77777777" w:rsidR="00A11FD5" w:rsidRPr="00514D5A" w:rsidRDefault="00A11FD5" w:rsidP="00A11FD5">
            <w:pPr>
              <w:rPr>
                <w:rFonts w:cstheme="minorHAnsi"/>
                <w:sz w:val="24"/>
                <w:szCs w:val="24"/>
              </w:rPr>
            </w:pPr>
          </w:p>
        </w:tc>
      </w:tr>
      <w:tr w:rsidR="00A11FD5" w:rsidRPr="00514D5A" w14:paraId="6CE738F2" w14:textId="77777777" w:rsidTr="001B6C24">
        <w:trPr>
          <w:trHeight w:val="809"/>
          <w:jc w:val="right"/>
        </w:trPr>
        <w:tc>
          <w:tcPr>
            <w:tcW w:w="1985" w:type="dxa"/>
            <w:tcBorders>
              <w:top w:val="single" w:sz="4" w:space="0" w:color="00359E"/>
              <w:left w:val="single" w:sz="4" w:space="0" w:color="00359E"/>
              <w:bottom w:val="single" w:sz="4" w:space="0" w:color="00359E"/>
              <w:right w:val="single" w:sz="4" w:space="0" w:color="00359E"/>
            </w:tcBorders>
            <w:shd w:val="clear" w:color="auto" w:fill="002060"/>
          </w:tcPr>
          <w:p w14:paraId="0FB11D77" w14:textId="09CDA382" w:rsidR="00A11FD5" w:rsidRPr="00514D5A" w:rsidRDefault="00A11FD5" w:rsidP="00A11FD5">
            <w:pPr>
              <w:rPr>
                <w:rFonts w:cstheme="minorHAnsi"/>
                <w:color w:val="FFFFFF" w:themeColor="background1"/>
                <w:sz w:val="24"/>
                <w:szCs w:val="24"/>
              </w:rPr>
            </w:pPr>
            <w:r w:rsidRPr="00514D5A">
              <w:rPr>
                <w:rFonts w:cstheme="minorHAnsi"/>
                <w:color w:val="FFFFFF" w:themeColor="background1"/>
                <w:sz w:val="24"/>
                <w:szCs w:val="24"/>
              </w:rPr>
              <w:t xml:space="preserve">Evidence, progress, and review </w:t>
            </w:r>
          </w:p>
        </w:tc>
        <w:tc>
          <w:tcPr>
            <w:tcW w:w="7082" w:type="dxa"/>
            <w:gridSpan w:val="3"/>
            <w:tcBorders>
              <w:left w:val="single" w:sz="4" w:space="0" w:color="00359E"/>
            </w:tcBorders>
          </w:tcPr>
          <w:p w14:paraId="54DC9D51" w14:textId="315739F2" w:rsidR="00A11FD5" w:rsidRPr="00514D5A" w:rsidRDefault="00A11FD5" w:rsidP="00A11FD5">
            <w:pPr>
              <w:spacing w:after="120"/>
              <w:rPr>
                <w:rFonts w:cstheme="minorHAnsi"/>
                <w:sz w:val="24"/>
                <w:szCs w:val="24"/>
              </w:rPr>
            </w:pPr>
            <w:r w:rsidRPr="00514D5A">
              <w:rPr>
                <w:rFonts w:cstheme="minorHAnsi"/>
                <w:sz w:val="24"/>
                <w:szCs w:val="24"/>
              </w:rPr>
              <w:t xml:space="preserve">We will continue to gather: </w:t>
            </w:r>
          </w:p>
          <w:p w14:paraId="7A56C4E3" w14:textId="4076C39A" w:rsidR="00A11FD5" w:rsidRPr="00514D5A" w:rsidRDefault="00A11FD5" w:rsidP="00A11FD5">
            <w:pPr>
              <w:pStyle w:val="ListParagraph"/>
              <w:numPr>
                <w:ilvl w:val="0"/>
                <w:numId w:val="20"/>
              </w:numPr>
              <w:spacing w:after="120"/>
              <w:ind w:left="506"/>
              <w:rPr>
                <w:rFonts w:cstheme="minorHAnsi"/>
                <w:sz w:val="24"/>
                <w:szCs w:val="24"/>
              </w:rPr>
            </w:pPr>
            <w:r w:rsidRPr="00514D5A">
              <w:rPr>
                <w:rFonts w:cstheme="minorHAnsi"/>
                <w:sz w:val="24"/>
                <w:szCs w:val="24"/>
              </w:rPr>
              <w:t xml:space="preserve">Anonymised data on the demographics of our visitors. </w:t>
            </w:r>
          </w:p>
          <w:p w14:paraId="273AD0DA" w14:textId="4A027C75" w:rsidR="00A11FD5" w:rsidRPr="00514D5A" w:rsidRDefault="00A11FD5" w:rsidP="00A11FD5">
            <w:pPr>
              <w:pStyle w:val="ListParagraph"/>
              <w:numPr>
                <w:ilvl w:val="0"/>
                <w:numId w:val="20"/>
              </w:numPr>
              <w:spacing w:after="120"/>
              <w:ind w:left="506"/>
              <w:rPr>
                <w:rFonts w:cstheme="minorHAnsi"/>
                <w:sz w:val="24"/>
                <w:szCs w:val="24"/>
              </w:rPr>
            </w:pPr>
            <w:r w:rsidRPr="00514D5A">
              <w:rPr>
                <w:rFonts w:cstheme="minorHAnsi"/>
                <w:sz w:val="24"/>
                <w:szCs w:val="24"/>
              </w:rPr>
              <w:t xml:space="preserve">Feedback from visitors about our building, exhibitions, collections, services, and public programmes. </w:t>
            </w:r>
          </w:p>
          <w:p w14:paraId="5C6D6C65" w14:textId="0A6FB730" w:rsidR="00A11FD5" w:rsidRPr="00514D5A" w:rsidRDefault="00A11FD5" w:rsidP="00A11FD5">
            <w:pPr>
              <w:spacing w:after="120"/>
              <w:rPr>
                <w:rFonts w:cstheme="minorHAnsi"/>
                <w:sz w:val="24"/>
                <w:szCs w:val="24"/>
              </w:rPr>
            </w:pPr>
            <w:r w:rsidRPr="00514D5A">
              <w:rPr>
                <w:rFonts w:cstheme="minorHAnsi"/>
                <w:sz w:val="24"/>
                <w:szCs w:val="24"/>
              </w:rPr>
              <w:t>We will consult our stakeholders to ensure that all changes to our building, exhibitions, collections, services, and public programmes are accessible for them.</w:t>
            </w:r>
          </w:p>
          <w:p w14:paraId="5A406C41" w14:textId="7047996D" w:rsidR="00A11FD5" w:rsidRPr="00514D5A" w:rsidRDefault="00A11FD5" w:rsidP="00A11FD5">
            <w:pPr>
              <w:spacing w:after="120"/>
              <w:rPr>
                <w:rFonts w:cstheme="minorHAnsi"/>
                <w:sz w:val="24"/>
                <w:szCs w:val="24"/>
              </w:rPr>
            </w:pPr>
            <w:r w:rsidRPr="00514D5A">
              <w:rPr>
                <w:rFonts w:cstheme="minorHAnsi"/>
                <w:sz w:val="24"/>
                <w:szCs w:val="24"/>
              </w:rPr>
              <w:t xml:space="preserve">We will provide the </w:t>
            </w:r>
            <w:r w:rsidR="001B6C24" w:rsidRPr="00514D5A">
              <w:rPr>
                <w:rFonts w:cstheme="minorHAnsi"/>
                <w:sz w:val="24"/>
                <w:szCs w:val="24"/>
              </w:rPr>
              <w:t xml:space="preserve">[oversight group] </w:t>
            </w:r>
            <w:r w:rsidRPr="00514D5A">
              <w:rPr>
                <w:rFonts w:cstheme="minorHAnsi"/>
                <w:sz w:val="24"/>
                <w:szCs w:val="24"/>
              </w:rPr>
              <w:t xml:space="preserve">with quarterly updates on the progress of this action plan. As part of these quarterly updates, we will include details of funding and expenditure on each policy activity. </w:t>
            </w:r>
          </w:p>
          <w:p w14:paraId="7AAD7ED2" w14:textId="7E4E1E9F" w:rsidR="00A11FD5" w:rsidRPr="00514D5A" w:rsidRDefault="00A11FD5" w:rsidP="00A11FD5">
            <w:pPr>
              <w:spacing w:after="120"/>
              <w:rPr>
                <w:rFonts w:cstheme="minorHAnsi"/>
                <w:sz w:val="24"/>
                <w:szCs w:val="24"/>
              </w:rPr>
            </w:pPr>
            <w:r w:rsidRPr="00514D5A">
              <w:rPr>
                <w:rFonts w:cstheme="minorHAnsi"/>
                <w:sz w:val="24"/>
                <w:szCs w:val="24"/>
              </w:rPr>
              <w:t xml:space="preserve">If a policy activity is not going ahead as planned, we will review it and report any changes to the </w:t>
            </w:r>
            <w:r w:rsidR="001B6C24" w:rsidRPr="00514D5A">
              <w:rPr>
                <w:rFonts w:cstheme="minorHAnsi"/>
                <w:sz w:val="24"/>
                <w:szCs w:val="24"/>
              </w:rPr>
              <w:t>[oversight group].</w:t>
            </w:r>
            <w:r w:rsidRPr="00514D5A">
              <w:rPr>
                <w:rFonts w:cstheme="minorHAnsi"/>
                <w:sz w:val="24"/>
                <w:szCs w:val="24"/>
              </w:rPr>
              <w:t xml:space="preserve"> </w:t>
            </w:r>
          </w:p>
        </w:tc>
      </w:tr>
    </w:tbl>
    <w:p w14:paraId="3D53EB92" w14:textId="77777777" w:rsidR="00D31276" w:rsidRPr="00514D5A" w:rsidRDefault="00D31276" w:rsidP="00A11FD5">
      <w:pPr>
        <w:rPr>
          <w:rFonts w:cstheme="minorHAnsi"/>
          <w:sz w:val="24"/>
          <w:szCs w:val="24"/>
        </w:rPr>
        <w:sectPr w:rsidR="00D31276" w:rsidRPr="00514D5A" w:rsidSect="001B2BDB">
          <w:type w:val="continuous"/>
          <w:pgSz w:w="11906" w:h="16838"/>
          <w:pgMar w:top="1440" w:right="1440" w:bottom="1440" w:left="1440" w:header="709" w:footer="709" w:gutter="0"/>
          <w:cols w:space="708"/>
          <w:docGrid w:linePitch="360"/>
        </w:sectPr>
      </w:pPr>
    </w:p>
    <w:p w14:paraId="333405FD" w14:textId="77777777" w:rsidR="001063A7" w:rsidRPr="00514D5A" w:rsidRDefault="001063A7" w:rsidP="00A11FD5">
      <w:pPr>
        <w:rPr>
          <w:rFonts w:cstheme="minorHAnsi"/>
          <w:sz w:val="24"/>
          <w:szCs w:val="24"/>
        </w:rPr>
      </w:pPr>
    </w:p>
    <w:sectPr w:rsidR="001063A7" w:rsidRPr="00514D5A" w:rsidSect="001B2BD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274E0" w14:textId="77777777" w:rsidR="00B50F13" w:rsidRDefault="00B50F13" w:rsidP="00066E6F">
      <w:pPr>
        <w:spacing w:after="0" w:line="240" w:lineRule="auto"/>
      </w:pPr>
      <w:r>
        <w:separator/>
      </w:r>
    </w:p>
  </w:endnote>
  <w:endnote w:type="continuationSeparator" w:id="0">
    <w:p w14:paraId="189D46FF" w14:textId="77777777" w:rsidR="00B50F13" w:rsidRDefault="00B50F13" w:rsidP="0006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5FB74" w14:textId="77777777" w:rsidR="00B50F13" w:rsidRDefault="00B50F13" w:rsidP="00066E6F">
      <w:pPr>
        <w:spacing w:after="0" w:line="240" w:lineRule="auto"/>
      </w:pPr>
      <w:r>
        <w:separator/>
      </w:r>
    </w:p>
  </w:footnote>
  <w:footnote w:type="continuationSeparator" w:id="0">
    <w:p w14:paraId="71F307CD" w14:textId="77777777" w:rsidR="00B50F13" w:rsidRDefault="00B50F13" w:rsidP="00066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A2D"/>
    <w:multiLevelType w:val="hybridMultilevel"/>
    <w:tmpl w:val="C96CB2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250429"/>
    <w:multiLevelType w:val="hybridMultilevel"/>
    <w:tmpl w:val="9D6CD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DA39CD"/>
    <w:multiLevelType w:val="hybridMultilevel"/>
    <w:tmpl w:val="F336FF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97724B"/>
    <w:multiLevelType w:val="hybridMultilevel"/>
    <w:tmpl w:val="B9B4AF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042B99"/>
    <w:multiLevelType w:val="hybridMultilevel"/>
    <w:tmpl w:val="8ED644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8A2DC7"/>
    <w:multiLevelType w:val="hybridMultilevel"/>
    <w:tmpl w:val="DDF46EB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CCC4441"/>
    <w:multiLevelType w:val="hybridMultilevel"/>
    <w:tmpl w:val="5B74C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FB55C27"/>
    <w:multiLevelType w:val="hybridMultilevel"/>
    <w:tmpl w:val="1B144D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36B5D35"/>
    <w:multiLevelType w:val="hybridMultilevel"/>
    <w:tmpl w:val="E99A422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8640B70"/>
    <w:multiLevelType w:val="hybridMultilevel"/>
    <w:tmpl w:val="DDF46EB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9C167A7"/>
    <w:multiLevelType w:val="hybridMultilevel"/>
    <w:tmpl w:val="5CD85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1F804D3"/>
    <w:multiLevelType w:val="hybridMultilevel"/>
    <w:tmpl w:val="A044F4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B7A507C"/>
    <w:multiLevelType w:val="hybridMultilevel"/>
    <w:tmpl w:val="10B09084"/>
    <w:lvl w:ilvl="0" w:tplc="5854016E">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E1C42F6"/>
    <w:multiLevelType w:val="hybridMultilevel"/>
    <w:tmpl w:val="0F241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3DB465A"/>
    <w:multiLevelType w:val="hybridMultilevel"/>
    <w:tmpl w:val="4FCEF9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60A7F9B"/>
    <w:multiLevelType w:val="hybridMultilevel"/>
    <w:tmpl w:val="3C249A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388176D"/>
    <w:multiLevelType w:val="hybridMultilevel"/>
    <w:tmpl w:val="B1EAEE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451525C"/>
    <w:multiLevelType w:val="hybridMultilevel"/>
    <w:tmpl w:val="4ABEC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50676CC"/>
    <w:multiLevelType w:val="hybridMultilevel"/>
    <w:tmpl w:val="9B14B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DCB4FB4"/>
    <w:multiLevelType w:val="hybridMultilevel"/>
    <w:tmpl w:val="2460E21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AD2191E"/>
    <w:multiLevelType w:val="hybridMultilevel"/>
    <w:tmpl w:val="AF9C99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4"/>
  </w:num>
  <w:num w:numId="5">
    <w:abstractNumId w:val="8"/>
  </w:num>
  <w:num w:numId="6">
    <w:abstractNumId w:val="0"/>
  </w:num>
  <w:num w:numId="7">
    <w:abstractNumId w:val="9"/>
  </w:num>
  <w:num w:numId="8">
    <w:abstractNumId w:val="1"/>
  </w:num>
  <w:num w:numId="9">
    <w:abstractNumId w:val="14"/>
  </w:num>
  <w:num w:numId="10">
    <w:abstractNumId w:val="2"/>
  </w:num>
  <w:num w:numId="11">
    <w:abstractNumId w:val="15"/>
  </w:num>
  <w:num w:numId="12">
    <w:abstractNumId w:val="16"/>
  </w:num>
  <w:num w:numId="13">
    <w:abstractNumId w:val="17"/>
  </w:num>
  <w:num w:numId="14">
    <w:abstractNumId w:val="5"/>
  </w:num>
  <w:num w:numId="15">
    <w:abstractNumId w:val="13"/>
  </w:num>
  <w:num w:numId="16">
    <w:abstractNumId w:val="18"/>
  </w:num>
  <w:num w:numId="17">
    <w:abstractNumId w:val="7"/>
  </w:num>
  <w:num w:numId="18">
    <w:abstractNumId w:val="6"/>
  </w:num>
  <w:num w:numId="19">
    <w:abstractNumId w:val="10"/>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F0"/>
    <w:rsid w:val="00066E6F"/>
    <w:rsid w:val="00100C06"/>
    <w:rsid w:val="001063A7"/>
    <w:rsid w:val="00123728"/>
    <w:rsid w:val="0014346F"/>
    <w:rsid w:val="001B2BDB"/>
    <w:rsid w:val="001B6C24"/>
    <w:rsid w:val="001F5AB5"/>
    <w:rsid w:val="00245A6B"/>
    <w:rsid w:val="00293762"/>
    <w:rsid w:val="002C0AEC"/>
    <w:rsid w:val="003F4239"/>
    <w:rsid w:val="00442CEF"/>
    <w:rsid w:val="004A1022"/>
    <w:rsid w:val="004A4CD4"/>
    <w:rsid w:val="005118F0"/>
    <w:rsid w:val="00514D5A"/>
    <w:rsid w:val="00534E32"/>
    <w:rsid w:val="0055421E"/>
    <w:rsid w:val="0057013B"/>
    <w:rsid w:val="00593676"/>
    <w:rsid w:val="00640E2E"/>
    <w:rsid w:val="00740A3D"/>
    <w:rsid w:val="007932EB"/>
    <w:rsid w:val="007B0B69"/>
    <w:rsid w:val="008639F9"/>
    <w:rsid w:val="0091265B"/>
    <w:rsid w:val="009C789F"/>
    <w:rsid w:val="009D2475"/>
    <w:rsid w:val="009E4C2A"/>
    <w:rsid w:val="00A01EB5"/>
    <w:rsid w:val="00A11FD5"/>
    <w:rsid w:val="00A762E7"/>
    <w:rsid w:val="00AD0D8F"/>
    <w:rsid w:val="00B50F13"/>
    <w:rsid w:val="00C07C3D"/>
    <w:rsid w:val="00D31276"/>
    <w:rsid w:val="00E63655"/>
    <w:rsid w:val="00F320AB"/>
    <w:rsid w:val="00F71834"/>
    <w:rsid w:val="00FF6C03"/>
    <w:rsid w:val="00FF6DE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23BBB"/>
  <w15:chartTrackingRefBased/>
  <w15:docId w15:val="{BD6DE6B6-C057-4072-AB4F-6C624C14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676"/>
    <w:pPr>
      <w:jc w:val="center"/>
      <w:outlineLvl w:val="0"/>
    </w:pPr>
    <w:rPr>
      <w:rFonts w:cstheme="minorHAnsi"/>
      <w:b/>
      <w:bCs/>
      <w:sz w:val="32"/>
      <w:szCs w:val="32"/>
      <w:u w:val="single"/>
    </w:rPr>
  </w:style>
  <w:style w:type="paragraph" w:styleId="Heading2">
    <w:name w:val="heading 2"/>
    <w:basedOn w:val="Normal"/>
    <w:next w:val="Normal"/>
    <w:link w:val="Heading2Char"/>
    <w:uiPriority w:val="9"/>
    <w:unhideWhenUsed/>
    <w:qFormat/>
    <w:rsid w:val="00593676"/>
    <w:pPr>
      <w:spacing w:before="360"/>
      <w:outlineLvl w:val="1"/>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8F0"/>
    <w:pPr>
      <w:ind w:left="720"/>
      <w:contextualSpacing/>
    </w:pPr>
  </w:style>
  <w:style w:type="paragraph" w:styleId="FootnoteText">
    <w:name w:val="footnote text"/>
    <w:basedOn w:val="Normal"/>
    <w:link w:val="FootnoteTextChar"/>
    <w:uiPriority w:val="99"/>
    <w:semiHidden/>
    <w:unhideWhenUsed/>
    <w:rsid w:val="00066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E6F"/>
    <w:rPr>
      <w:sz w:val="20"/>
      <w:szCs w:val="20"/>
    </w:rPr>
  </w:style>
  <w:style w:type="character" w:styleId="FootnoteReference">
    <w:name w:val="footnote reference"/>
    <w:basedOn w:val="DefaultParagraphFont"/>
    <w:uiPriority w:val="99"/>
    <w:semiHidden/>
    <w:unhideWhenUsed/>
    <w:rsid w:val="00066E6F"/>
    <w:rPr>
      <w:vertAlign w:val="superscript"/>
    </w:rPr>
  </w:style>
  <w:style w:type="character" w:styleId="Hyperlink">
    <w:name w:val="Hyperlink"/>
    <w:basedOn w:val="DefaultParagraphFont"/>
    <w:uiPriority w:val="99"/>
    <w:unhideWhenUsed/>
    <w:rsid w:val="00066E6F"/>
    <w:rPr>
      <w:color w:val="0563C1" w:themeColor="hyperlink"/>
      <w:u w:val="single"/>
    </w:rPr>
  </w:style>
  <w:style w:type="character" w:customStyle="1" w:styleId="UnresolvedMention">
    <w:name w:val="Unresolved Mention"/>
    <w:basedOn w:val="DefaultParagraphFont"/>
    <w:uiPriority w:val="99"/>
    <w:semiHidden/>
    <w:unhideWhenUsed/>
    <w:rsid w:val="00066E6F"/>
    <w:rPr>
      <w:color w:val="605E5C"/>
      <w:shd w:val="clear" w:color="auto" w:fill="E1DFDD"/>
    </w:rPr>
  </w:style>
  <w:style w:type="table" w:styleId="TableGrid">
    <w:name w:val="Table Grid"/>
    <w:basedOn w:val="TableNormal"/>
    <w:uiPriority w:val="39"/>
    <w:rsid w:val="00C07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D5"/>
  </w:style>
  <w:style w:type="paragraph" w:styleId="Footer">
    <w:name w:val="footer"/>
    <w:basedOn w:val="Normal"/>
    <w:link w:val="FooterChar"/>
    <w:uiPriority w:val="99"/>
    <w:unhideWhenUsed/>
    <w:rsid w:val="00A11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D5"/>
  </w:style>
  <w:style w:type="character" w:customStyle="1" w:styleId="Heading1Char">
    <w:name w:val="Heading 1 Char"/>
    <w:basedOn w:val="DefaultParagraphFont"/>
    <w:link w:val="Heading1"/>
    <w:uiPriority w:val="9"/>
    <w:rsid w:val="00593676"/>
    <w:rPr>
      <w:rFonts w:cstheme="minorHAnsi"/>
      <w:b/>
      <w:bCs/>
      <w:sz w:val="32"/>
      <w:szCs w:val="32"/>
      <w:u w:val="single"/>
    </w:rPr>
  </w:style>
  <w:style w:type="character" w:customStyle="1" w:styleId="Heading2Char">
    <w:name w:val="Heading 2 Char"/>
    <w:basedOn w:val="DefaultParagraphFont"/>
    <w:link w:val="Heading2"/>
    <w:uiPriority w:val="9"/>
    <w:rsid w:val="00593676"/>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76836.E95DA4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0E201-171E-47FA-8295-C5A3DF37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BOSWELL-HORE, Amy</dc:creator>
  <cp:keywords/>
  <dc:description/>
  <cp:lastModifiedBy>Amy Boswell-Hore</cp:lastModifiedBy>
  <cp:revision>18</cp:revision>
  <dcterms:created xsi:type="dcterms:W3CDTF">2021-06-21T23:31:00Z</dcterms:created>
  <dcterms:modified xsi:type="dcterms:W3CDTF">2022-04-11T00:28:00Z</dcterms:modified>
</cp:coreProperties>
</file>